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F18060" w14:textId="77777777" w:rsidR="004C05A7" w:rsidRDefault="004C05A7" w:rsidP="004C05A7">
      <w:pPr>
        <w:pStyle w:val="NormalWeb"/>
        <w:spacing w:before="0" w:beforeAutospacing="0" w:after="0" w:afterAutospacing="0" w:line="480" w:lineRule="auto"/>
        <w:jc w:val="center"/>
        <w:rPr>
          <w:color w:val="0E101A"/>
        </w:rPr>
      </w:pPr>
    </w:p>
    <w:p w14:paraId="112626B8" w14:textId="77777777" w:rsidR="004C05A7" w:rsidRDefault="004C05A7" w:rsidP="004C05A7">
      <w:pPr>
        <w:pStyle w:val="NormalWeb"/>
        <w:spacing w:before="0" w:beforeAutospacing="0" w:after="0" w:afterAutospacing="0" w:line="480" w:lineRule="auto"/>
        <w:jc w:val="center"/>
        <w:rPr>
          <w:color w:val="0E101A"/>
        </w:rPr>
      </w:pPr>
    </w:p>
    <w:p w14:paraId="7150BABB" w14:textId="77777777" w:rsidR="004C05A7" w:rsidRDefault="004C05A7" w:rsidP="004C05A7">
      <w:pPr>
        <w:pStyle w:val="NormalWeb"/>
        <w:spacing w:before="0" w:beforeAutospacing="0" w:after="0" w:afterAutospacing="0" w:line="480" w:lineRule="auto"/>
        <w:jc w:val="center"/>
        <w:rPr>
          <w:color w:val="0E101A"/>
        </w:rPr>
      </w:pPr>
    </w:p>
    <w:p w14:paraId="1370CC7C" w14:textId="6B4DACBB" w:rsidR="008A681D" w:rsidRDefault="008A681D" w:rsidP="004C05A7">
      <w:pPr>
        <w:pStyle w:val="NormalWeb"/>
        <w:spacing w:before="0" w:beforeAutospacing="0" w:after="0" w:afterAutospacing="0" w:line="480" w:lineRule="auto"/>
        <w:jc w:val="center"/>
        <w:rPr>
          <w:color w:val="0E101A"/>
        </w:rPr>
      </w:pPr>
      <w:r>
        <w:rPr>
          <w:color w:val="0E101A"/>
        </w:rPr>
        <w:t>Argentina Nationalism: The Role of Juan Manuel de Rosas</w:t>
      </w:r>
    </w:p>
    <w:p w14:paraId="4EDF9687" w14:textId="77777777" w:rsidR="004C05A7" w:rsidRDefault="004C05A7" w:rsidP="004C05A7">
      <w:pPr>
        <w:pStyle w:val="NormalWeb"/>
        <w:spacing w:before="0" w:beforeAutospacing="0" w:after="0" w:afterAutospacing="0" w:line="480" w:lineRule="auto"/>
        <w:jc w:val="center"/>
        <w:rPr>
          <w:color w:val="0E101A"/>
        </w:rPr>
      </w:pPr>
    </w:p>
    <w:p w14:paraId="48533B53" w14:textId="77777777" w:rsidR="004C05A7" w:rsidRDefault="004C05A7" w:rsidP="004C05A7">
      <w:pPr>
        <w:pStyle w:val="NormalWeb"/>
        <w:spacing w:before="0" w:beforeAutospacing="0" w:after="0" w:afterAutospacing="0" w:line="480" w:lineRule="auto"/>
        <w:jc w:val="center"/>
        <w:rPr>
          <w:color w:val="0E101A"/>
        </w:rPr>
      </w:pPr>
    </w:p>
    <w:p w14:paraId="3917C854" w14:textId="3C17C3C8" w:rsidR="002337E9" w:rsidRDefault="00BF17C1" w:rsidP="004C05A7">
      <w:pPr>
        <w:pStyle w:val="NormalWeb"/>
        <w:spacing w:before="0" w:beforeAutospacing="0" w:after="0" w:afterAutospacing="0" w:line="480" w:lineRule="auto"/>
        <w:jc w:val="center"/>
        <w:rPr>
          <w:color w:val="0E101A"/>
        </w:rPr>
      </w:pPr>
      <w:r>
        <w:rPr>
          <w:color w:val="0E101A"/>
        </w:rPr>
        <w:t>Name</w:t>
      </w:r>
    </w:p>
    <w:p w14:paraId="76BEA752" w14:textId="0B25E290" w:rsidR="004C05A7" w:rsidRDefault="004C05A7" w:rsidP="004C05A7">
      <w:pPr>
        <w:pStyle w:val="NormalWeb"/>
        <w:spacing w:before="0" w:beforeAutospacing="0" w:after="0" w:afterAutospacing="0" w:line="480" w:lineRule="auto"/>
        <w:jc w:val="center"/>
        <w:rPr>
          <w:color w:val="0E101A"/>
        </w:rPr>
      </w:pPr>
    </w:p>
    <w:p w14:paraId="477165D6" w14:textId="645C8D12" w:rsidR="004C05A7" w:rsidRDefault="004C05A7" w:rsidP="004C05A7">
      <w:pPr>
        <w:pStyle w:val="NormalWeb"/>
        <w:spacing w:before="0" w:beforeAutospacing="0" w:after="0" w:afterAutospacing="0" w:line="480" w:lineRule="auto"/>
        <w:jc w:val="center"/>
        <w:rPr>
          <w:color w:val="0E101A"/>
        </w:rPr>
      </w:pPr>
    </w:p>
    <w:p w14:paraId="4D9CCC92" w14:textId="1360DF7F" w:rsidR="004C05A7" w:rsidRDefault="004C05A7" w:rsidP="004C05A7">
      <w:pPr>
        <w:pStyle w:val="NormalWeb"/>
        <w:spacing w:before="0" w:beforeAutospacing="0" w:after="0" w:afterAutospacing="0" w:line="480" w:lineRule="auto"/>
        <w:jc w:val="center"/>
        <w:rPr>
          <w:color w:val="0E101A"/>
        </w:rPr>
      </w:pPr>
    </w:p>
    <w:p w14:paraId="066AD88B" w14:textId="4C01F1F6" w:rsidR="004C05A7" w:rsidRDefault="004C05A7" w:rsidP="004C05A7">
      <w:pPr>
        <w:pStyle w:val="NormalWeb"/>
        <w:spacing w:before="0" w:beforeAutospacing="0" w:after="0" w:afterAutospacing="0" w:line="480" w:lineRule="auto"/>
        <w:jc w:val="center"/>
        <w:rPr>
          <w:color w:val="0E101A"/>
        </w:rPr>
      </w:pPr>
    </w:p>
    <w:p w14:paraId="01AC3D51" w14:textId="77777777" w:rsidR="004C05A7" w:rsidRDefault="004C05A7" w:rsidP="004C05A7">
      <w:pPr>
        <w:pStyle w:val="NormalWeb"/>
        <w:spacing w:before="0" w:beforeAutospacing="0" w:after="0" w:afterAutospacing="0" w:line="480" w:lineRule="auto"/>
        <w:jc w:val="center"/>
        <w:rPr>
          <w:color w:val="0E101A"/>
        </w:rPr>
      </w:pPr>
    </w:p>
    <w:p w14:paraId="58CD4A06" w14:textId="569DAB75" w:rsidR="00BF17C1" w:rsidRDefault="00BF17C1" w:rsidP="004C05A7">
      <w:pPr>
        <w:pStyle w:val="NormalWeb"/>
        <w:spacing w:before="0" w:beforeAutospacing="0" w:after="0" w:afterAutospacing="0" w:line="480" w:lineRule="auto"/>
        <w:jc w:val="center"/>
        <w:rPr>
          <w:color w:val="0E101A"/>
        </w:rPr>
      </w:pPr>
      <w:r>
        <w:rPr>
          <w:color w:val="0E101A"/>
        </w:rPr>
        <w:t>ID Number</w:t>
      </w:r>
    </w:p>
    <w:p w14:paraId="553C8DAB" w14:textId="55D3561F" w:rsidR="00BF17C1" w:rsidRDefault="00BF17C1" w:rsidP="004C05A7">
      <w:pPr>
        <w:pStyle w:val="NormalWeb"/>
        <w:spacing w:before="0" w:beforeAutospacing="0" w:after="0" w:afterAutospacing="0" w:line="480" w:lineRule="auto"/>
        <w:jc w:val="center"/>
        <w:rPr>
          <w:color w:val="0E101A"/>
        </w:rPr>
      </w:pPr>
      <w:r>
        <w:rPr>
          <w:color w:val="0E101A"/>
        </w:rPr>
        <w:t>Professor</w:t>
      </w:r>
    </w:p>
    <w:p w14:paraId="5DF92A11" w14:textId="4C6B90BE" w:rsidR="00BF17C1" w:rsidRDefault="00BF17C1" w:rsidP="004C05A7">
      <w:pPr>
        <w:pStyle w:val="NormalWeb"/>
        <w:spacing w:before="0" w:beforeAutospacing="0" w:after="0" w:afterAutospacing="0" w:line="480" w:lineRule="auto"/>
        <w:jc w:val="center"/>
        <w:rPr>
          <w:color w:val="0E101A"/>
        </w:rPr>
      </w:pPr>
      <w:r>
        <w:rPr>
          <w:color w:val="0E101A"/>
        </w:rPr>
        <w:t>Course</w:t>
      </w:r>
    </w:p>
    <w:p w14:paraId="559C99F2" w14:textId="47B902D3" w:rsidR="00BF17C1" w:rsidRDefault="00BF17C1" w:rsidP="004C05A7">
      <w:pPr>
        <w:pStyle w:val="NormalWeb"/>
        <w:spacing w:before="0" w:beforeAutospacing="0" w:after="0" w:afterAutospacing="0" w:line="480" w:lineRule="auto"/>
        <w:jc w:val="center"/>
        <w:rPr>
          <w:color w:val="0E101A"/>
        </w:rPr>
      </w:pPr>
      <w:r>
        <w:rPr>
          <w:color w:val="0E101A"/>
        </w:rPr>
        <w:t>Date</w:t>
      </w:r>
    </w:p>
    <w:p w14:paraId="1FAE2D8D" w14:textId="78163CFB" w:rsidR="004C05A7" w:rsidRDefault="004C05A7" w:rsidP="004C05A7">
      <w:pPr>
        <w:pStyle w:val="NormalWeb"/>
        <w:spacing w:before="0" w:beforeAutospacing="0" w:after="0" w:afterAutospacing="0" w:line="480" w:lineRule="auto"/>
        <w:jc w:val="center"/>
        <w:rPr>
          <w:color w:val="0E101A"/>
        </w:rPr>
      </w:pPr>
    </w:p>
    <w:p w14:paraId="082E6352" w14:textId="76A4F742" w:rsidR="004C05A7" w:rsidRDefault="004C05A7" w:rsidP="004C05A7">
      <w:pPr>
        <w:pStyle w:val="NormalWeb"/>
        <w:spacing w:before="0" w:beforeAutospacing="0" w:after="0" w:afterAutospacing="0" w:line="480" w:lineRule="auto"/>
        <w:jc w:val="center"/>
        <w:rPr>
          <w:color w:val="0E101A"/>
        </w:rPr>
      </w:pPr>
    </w:p>
    <w:p w14:paraId="31AEA134" w14:textId="136B160B" w:rsidR="004C05A7" w:rsidRDefault="004C05A7" w:rsidP="004C05A7">
      <w:pPr>
        <w:pStyle w:val="NormalWeb"/>
        <w:spacing w:before="0" w:beforeAutospacing="0" w:after="0" w:afterAutospacing="0" w:line="480" w:lineRule="auto"/>
        <w:jc w:val="center"/>
        <w:rPr>
          <w:color w:val="0E101A"/>
        </w:rPr>
      </w:pPr>
    </w:p>
    <w:p w14:paraId="0E3968C9" w14:textId="4B7590C1" w:rsidR="004C05A7" w:rsidRDefault="004C05A7" w:rsidP="004C05A7">
      <w:pPr>
        <w:pStyle w:val="NormalWeb"/>
        <w:spacing w:before="0" w:beforeAutospacing="0" w:after="0" w:afterAutospacing="0" w:line="480" w:lineRule="auto"/>
        <w:jc w:val="center"/>
        <w:rPr>
          <w:color w:val="0E101A"/>
        </w:rPr>
      </w:pPr>
    </w:p>
    <w:p w14:paraId="783F1C9E" w14:textId="2839D7CE" w:rsidR="004C05A7" w:rsidRDefault="004C05A7" w:rsidP="004C05A7">
      <w:pPr>
        <w:pStyle w:val="NormalWeb"/>
        <w:spacing w:before="0" w:beforeAutospacing="0" w:after="0" w:afterAutospacing="0" w:line="480" w:lineRule="auto"/>
        <w:jc w:val="center"/>
        <w:rPr>
          <w:color w:val="0E101A"/>
        </w:rPr>
      </w:pPr>
    </w:p>
    <w:p w14:paraId="4E18BDCC" w14:textId="77777777" w:rsidR="004C05A7" w:rsidRDefault="004C05A7" w:rsidP="004C05A7">
      <w:pPr>
        <w:pStyle w:val="NormalWeb"/>
        <w:spacing w:before="0" w:beforeAutospacing="0" w:after="0" w:afterAutospacing="0" w:line="480" w:lineRule="auto"/>
        <w:jc w:val="center"/>
        <w:rPr>
          <w:color w:val="0E101A"/>
        </w:rPr>
      </w:pPr>
    </w:p>
    <w:p w14:paraId="6961633F" w14:textId="2C592C04" w:rsidR="008A681D" w:rsidRDefault="008A681D" w:rsidP="004C05A7">
      <w:pPr>
        <w:pStyle w:val="NormalWeb"/>
        <w:spacing w:before="0" w:beforeAutospacing="0" w:after="0" w:afterAutospacing="0" w:line="480" w:lineRule="auto"/>
        <w:ind w:firstLine="720"/>
        <w:rPr>
          <w:color w:val="0E101A"/>
        </w:rPr>
      </w:pPr>
      <w:r>
        <w:rPr>
          <w:color w:val="0E101A"/>
        </w:rPr>
        <w:lastRenderedPageBreak/>
        <w:t xml:space="preserve">The definition of nationalism is better defined by professor </w:t>
      </w:r>
      <w:proofErr w:type="spellStart"/>
      <w:r>
        <w:rPr>
          <w:color w:val="0E101A"/>
        </w:rPr>
        <w:t>Ebenstein</w:t>
      </w:r>
      <w:proofErr w:type="spellEnd"/>
      <w:r>
        <w:rPr>
          <w:color w:val="0E101A"/>
        </w:rPr>
        <w:t>. He described nationalism as a critical driving force of domestic, international, and imperial domestics</w:t>
      </w:r>
      <w:r w:rsidR="00BF17C1">
        <w:rPr>
          <w:color w:val="0E101A"/>
        </w:rPr>
        <w:t xml:space="preserve"> (</w:t>
      </w:r>
      <w:proofErr w:type="spellStart"/>
      <w:r w:rsidR="00BF17C1">
        <w:rPr>
          <w:color w:val="0E101A"/>
        </w:rPr>
        <w:t>Ebenstein</w:t>
      </w:r>
      <w:proofErr w:type="spellEnd"/>
      <w:r w:rsidR="00BF17C1">
        <w:rPr>
          <w:color w:val="0E101A"/>
        </w:rPr>
        <w:t>, 1962)</w:t>
      </w:r>
      <w:r w:rsidR="00F358FA">
        <w:rPr>
          <w:rStyle w:val="FootnoteReference"/>
          <w:color w:val="0E101A"/>
        </w:rPr>
        <w:footnoteReference w:id="1"/>
      </w:r>
      <w:r>
        <w:rPr>
          <w:color w:val="0E101A"/>
        </w:rPr>
        <w:t>. The Argentine nationalism surged during the struggle for independence and the preceding civil wars, which intensified in the 19th century. At the center of the 1800s leadership is Juan Manuel de Rosas, a military and political leader, who was famous during his reign as Bueno Aires governor from 1829-1852. Rosas's style of political leadership portrays a surprising resemblance with Italian dictator Benito Mussolini. Like Mussolini, Rosas was a nationalist who likens himself to federalism and strengthened the catholic religion. He used to assert his power in the two terms he was in control. However, there are mixed perceptions of the role Rosas played in Argentina's nationalism. For instance, in the book </w:t>
      </w:r>
      <w:r>
        <w:rPr>
          <w:rStyle w:val="Emphasis"/>
          <w:color w:val="0E101A"/>
        </w:rPr>
        <w:t xml:space="preserve">Facundo: Civilization y </w:t>
      </w:r>
      <w:proofErr w:type="spellStart"/>
      <w:r>
        <w:rPr>
          <w:rStyle w:val="Emphasis"/>
          <w:color w:val="0E101A"/>
        </w:rPr>
        <w:t>Barbarie</w:t>
      </w:r>
      <w:proofErr w:type="spellEnd"/>
      <w:r>
        <w:rPr>
          <w:color w:val="0E101A"/>
        </w:rPr>
        <w:t>, Domingo Sarmiento airs his sentiments of how Rosas destroyed the nation's civilization. He writes, "With Juan Facundo Quiroga came the ultimate triumph of provinces over the cities, and with the spirit, government, and civilization of the cities dominated came the final formation of the central, unitarist, despotic government of Manuel Rosas, who sticks the gaucho's knife into cultured Buenos Aires and Destroys the work of centuries: civilization, law, and liberty."</w:t>
      </w:r>
      <w:r w:rsidR="00BF17C1">
        <w:rPr>
          <w:color w:val="0E101A"/>
        </w:rPr>
        <w:t>(Sarmiento, 1974)</w:t>
      </w:r>
      <w:r w:rsidR="00F358FA">
        <w:rPr>
          <w:rStyle w:val="FootnoteReference"/>
          <w:color w:val="0E101A"/>
        </w:rPr>
        <w:footnoteReference w:id="2"/>
      </w:r>
      <w:r>
        <w:rPr>
          <w:color w:val="0E101A"/>
        </w:rPr>
        <w:t xml:space="preserve"> On the other hand, some people consider Rosas as a federalist who struggled for the autonomy of the provincial governments, especially Buenos Aires, and the distribution of taxes among provinces. Therefore, while Rosas was a prototype of caudillo dictators that governed most of the South American regions, he played a critical role in the reformation of laws that was paramount in Argentina nationalism.</w:t>
      </w:r>
    </w:p>
    <w:p w14:paraId="58295C8D" w14:textId="1CCB809B" w:rsidR="008A681D" w:rsidRDefault="008A681D" w:rsidP="004C05A7">
      <w:pPr>
        <w:pStyle w:val="NormalWeb"/>
        <w:spacing w:before="0" w:beforeAutospacing="0" w:after="0" w:afterAutospacing="0" w:line="480" w:lineRule="auto"/>
        <w:ind w:firstLine="720"/>
        <w:rPr>
          <w:color w:val="0E101A"/>
        </w:rPr>
      </w:pPr>
      <w:r>
        <w:rPr>
          <w:color w:val="0E101A"/>
        </w:rPr>
        <w:lastRenderedPageBreak/>
        <w:t>The struggle for independence created problems that required strong leadership. One of the core reasons for the intense revolutions against the Spanish regime was the need for an independent Argentina. On July 9, 1816, Argentina's independence was declared, following a Tucuman congressional meeting</w:t>
      </w:r>
      <w:r w:rsidR="00BF17C1">
        <w:rPr>
          <w:color w:val="0E101A"/>
        </w:rPr>
        <w:t xml:space="preserve"> (</w:t>
      </w:r>
      <w:proofErr w:type="spellStart"/>
      <w:r w:rsidR="00BF17C1">
        <w:rPr>
          <w:color w:val="0E101A"/>
        </w:rPr>
        <w:t>Escude</w:t>
      </w:r>
      <w:proofErr w:type="spellEnd"/>
      <w:r w:rsidR="00BF17C1">
        <w:rPr>
          <w:color w:val="0E101A"/>
        </w:rPr>
        <w:t>, 1988)</w:t>
      </w:r>
      <w:r w:rsidR="00F358FA">
        <w:rPr>
          <w:rStyle w:val="FootnoteReference"/>
          <w:color w:val="0E101A"/>
        </w:rPr>
        <w:footnoteReference w:id="3"/>
      </w:r>
      <w:r>
        <w:rPr>
          <w:color w:val="0E101A"/>
        </w:rPr>
        <w:t>. San Martin was at the helm of the struggle for independence and even strengthened the military to ensure that his homeland was secure from a return of any colonial status. However, while Argentina succeeded in expunging the colonial regime, two obstacles created instability among the provinces. The first problem was a lack of unity between the Argentina provinces, which was marked by two opposing movements, with the Unitarian party rallying its effort around tactics that would ensure a centralized government and no distribution of commercial taxes to other provinces. On the other hand, the federalists were fighting for autonomous provinces that will ensure the distribution of taxes throughout the provinces. The second problem was that there were vast swathes of the nation, which were marked as </w:t>
      </w:r>
      <w:proofErr w:type="spellStart"/>
      <w:r>
        <w:rPr>
          <w:rStyle w:val="Emphasis"/>
          <w:color w:val="0E101A"/>
        </w:rPr>
        <w:t>Territorio</w:t>
      </w:r>
      <w:proofErr w:type="spellEnd"/>
      <w:r>
        <w:rPr>
          <w:rStyle w:val="Emphasis"/>
          <w:color w:val="0E101A"/>
        </w:rPr>
        <w:t xml:space="preserve"> </w:t>
      </w:r>
      <w:proofErr w:type="spellStart"/>
      <w:r>
        <w:rPr>
          <w:rStyle w:val="Emphasis"/>
          <w:color w:val="0E101A"/>
        </w:rPr>
        <w:t>Indígena</w:t>
      </w:r>
      <w:proofErr w:type="spellEnd"/>
      <w:r>
        <w:rPr>
          <w:color w:val="0E101A"/>
        </w:rPr>
        <w:t>, which means lands belonging to the native people</w:t>
      </w:r>
      <w:r w:rsidR="00BF17C1">
        <w:rPr>
          <w:color w:val="0E101A"/>
        </w:rPr>
        <w:t xml:space="preserve"> (</w:t>
      </w:r>
      <w:proofErr w:type="spellStart"/>
      <w:r w:rsidR="00BF17C1">
        <w:rPr>
          <w:color w:val="0E101A"/>
        </w:rPr>
        <w:t>Gordin</w:t>
      </w:r>
      <w:proofErr w:type="spellEnd"/>
      <w:r w:rsidR="00BF17C1">
        <w:rPr>
          <w:color w:val="0E101A"/>
        </w:rPr>
        <w:t>, 2010)</w:t>
      </w:r>
      <w:r w:rsidR="002337E9">
        <w:rPr>
          <w:rStyle w:val="FootnoteReference"/>
          <w:color w:val="0E101A"/>
        </w:rPr>
        <w:footnoteReference w:id="4"/>
      </w:r>
      <w:r>
        <w:rPr>
          <w:color w:val="0E101A"/>
        </w:rPr>
        <w:t>. In solving the apparent problems, there needed a leader who would work towards unifying the provinces.</w:t>
      </w:r>
    </w:p>
    <w:p w14:paraId="45D05FF2" w14:textId="67EF8B59" w:rsidR="008A681D" w:rsidRDefault="008A681D" w:rsidP="004C05A7">
      <w:pPr>
        <w:pStyle w:val="NormalWeb"/>
        <w:spacing w:before="0" w:beforeAutospacing="0" w:after="0" w:afterAutospacing="0" w:line="480" w:lineRule="auto"/>
        <w:ind w:firstLine="720"/>
        <w:rPr>
          <w:color w:val="0E101A"/>
        </w:rPr>
      </w:pPr>
      <w:r>
        <w:rPr>
          <w:color w:val="0E101A"/>
        </w:rPr>
        <w:t xml:space="preserve">The caudillos were common in the 1800s in Latin America. The term caudillo originated from Spain during the Reconquista period and was associated with leaders like Pelagius, who led the Iberian Peninsula to freedom from Moorish rulers' rule. In Latin America, the caudillo became common in the post-independence era. However, in Latin America, the caudillo rulers were stated as a military leader by leading militias in the turbulent revolution and development </w:t>
      </w:r>
      <w:r>
        <w:rPr>
          <w:color w:val="0E101A"/>
        </w:rPr>
        <w:lastRenderedPageBreak/>
        <w:t>of ascent states. Moreover, the caudillo of the 1800s in Latin America</w:t>
      </w:r>
      <w:r w:rsidR="001E22B7">
        <w:rPr>
          <w:color w:val="0E101A"/>
        </w:rPr>
        <w:t xml:space="preserve"> differed from that of the ancient Spain because power was structured around the caudillo, allowing him to dominate and control all the forces. In particular, the caudillos of the 1800s in Chile, Uruguay, and Argentina utilized broad patron-client networks to consolidate power </w:t>
      </w:r>
      <w:r w:rsidR="007350D6">
        <w:rPr>
          <w:color w:val="0E101A"/>
        </w:rPr>
        <w:t>around</w:t>
      </w:r>
      <w:r w:rsidR="001E22B7">
        <w:rPr>
          <w:color w:val="0E101A"/>
        </w:rPr>
        <w:t xml:space="preserve"> them which were crucial in asserting dominance </w:t>
      </w:r>
      <w:r w:rsidR="007350D6">
        <w:rPr>
          <w:color w:val="0E101A"/>
        </w:rPr>
        <w:t>against local opposition parties and international nations.</w:t>
      </w:r>
    </w:p>
    <w:p w14:paraId="128E32F8" w14:textId="77777777" w:rsidR="001E22B7" w:rsidRDefault="001E22B7" w:rsidP="004C05A7">
      <w:pPr>
        <w:pStyle w:val="NormalWeb"/>
        <w:spacing w:before="0" w:beforeAutospacing="0" w:after="0" w:afterAutospacing="0" w:line="480" w:lineRule="auto"/>
        <w:rPr>
          <w:color w:val="0E101A"/>
        </w:rPr>
      </w:pPr>
    </w:p>
    <w:p w14:paraId="65FD8EC5" w14:textId="6846224B" w:rsidR="008A681D" w:rsidRDefault="008A681D" w:rsidP="004C05A7">
      <w:pPr>
        <w:pStyle w:val="NormalWeb"/>
        <w:spacing w:before="0" w:beforeAutospacing="0" w:after="0" w:afterAutospacing="0" w:line="480" w:lineRule="auto"/>
        <w:ind w:firstLine="720"/>
        <w:rPr>
          <w:color w:val="0E101A"/>
        </w:rPr>
      </w:pPr>
      <w:r>
        <w:rPr>
          <w:color w:val="0E101A"/>
        </w:rPr>
        <w:t xml:space="preserve">The prevailing situation in 1828-1829 needed a leader with dictatorial powers to contain the battle between the </w:t>
      </w:r>
      <w:proofErr w:type="spellStart"/>
      <w:r>
        <w:rPr>
          <w:color w:val="0E101A"/>
        </w:rPr>
        <w:t>unitarios</w:t>
      </w:r>
      <w:proofErr w:type="spellEnd"/>
      <w:r>
        <w:rPr>
          <w:color w:val="0E101A"/>
        </w:rPr>
        <w:t xml:space="preserve"> and the federalists. Following the death of Manuel </w:t>
      </w:r>
      <w:proofErr w:type="spellStart"/>
      <w:r>
        <w:rPr>
          <w:color w:val="0E101A"/>
        </w:rPr>
        <w:t>Dorrego</w:t>
      </w:r>
      <w:proofErr w:type="spellEnd"/>
      <w:r>
        <w:rPr>
          <w:color w:val="0E101A"/>
        </w:rPr>
        <w:t xml:space="preserve">, the Buenos Aires governor, there was a resurgence of a military skirmish between the </w:t>
      </w:r>
      <w:proofErr w:type="spellStart"/>
      <w:r>
        <w:rPr>
          <w:color w:val="0E101A"/>
        </w:rPr>
        <w:t>unitarios</w:t>
      </w:r>
      <w:proofErr w:type="spellEnd"/>
      <w:r>
        <w:rPr>
          <w:color w:val="0E101A"/>
        </w:rPr>
        <w:t xml:space="preserve"> and the federalists</w:t>
      </w:r>
      <w:r w:rsidR="00BF17C1">
        <w:rPr>
          <w:color w:val="0E101A"/>
        </w:rPr>
        <w:t xml:space="preserve"> (</w:t>
      </w:r>
      <w:proofErr w:type="spellStart"/>
      <w:r w:rsidR="00BF17C1">
        <w:rPr>
          <w:color w:val="0E101A"/>
        </w:rPr>
        <w:t>Amezola</w:t>
      </w:r>
      <w:proofErr w:type="spellEnd"/>
      <w:r w:rsidR="00BF17C1">
        <w:rPr>
          <w:color w:val="0E101A"/>
        </w:rPr>
        <w:t>, 2007)</w:t>
      </w:r>
      <w:r w:rsidR="00511365">
        <w:rPr>
          <w:rStyle w:val="FootnoteReference"/>
          <w:color w:val="0E101A"/>
        </w:rPr>
        <w:footnoteReference w:id="5"/>
      </w:r>
      <w:r>
        <w:rPr>
          <w:color w:val="0E101A"/>
        </w:rPr>
        <w:t>. The rise of the civil wars in 1828 and the dissolution of national government culminated in Rosas undertaking the governorship position in Bueno Aires. Understanding the tough situation, the provincial legislature provided dictatorial powers or the </w:t>
      </w:r>
      <w:proofErr w:type="spellStart"/>
      <w:r>
        <w:rPr>
          <w:rStyle w:val="Emphasis"/>
          <w:color w:val="0E101A"/>
        </w:rPr>
        <w:t>suma</w:t>
      </w:r>
      <w:proofErr w:type="spellEnd"/>
      <w:r>
        <w:rPr>
          <w:rStyle w:val="Emphasis"/>
          <w:color w:val="0E101A"/>
        </w:rPr>
        <w:t xml:space="preserve"> del </w:t>
      </w:r>
      <w:proofErr w:type="spellStart"/>
      <w:r>
        <w:rPr>
          <w:rStyle w:val="Emphasis"/>
          <w:color w:val="0E101A"/>
        </w:rPr>
        <w:t>poder</w:t>
      </w:r>
      <w:proofErr w:type="spellEnd"/>
      <w:r>
        <w:rPr>
          <w:color w:val="0E101A"/>
        </w:rPr>
        <w:t>, to address the prevailing unstable political state</w:t>
      </w:r>
      <w:r w:rsidR="00BF17C1">
        <w:rPr>
          <w:color w:val="0E101A"/>
        </w:rPr>
        <w:t xml:space="preserve"> (</w:t>
      </w:r>
      <w:proofErr w:type="spellStart"/>
      <w:r w:rsidR="00BF17C1">
        <w:rPr>
          <w:color w:val="0E101A"/>
        </w:rPr>
        <w:t>Amezola</w:t>
      </w:r>
      <w:proofErr w:type="spellEnd"/>
      <w:r w:rsidR="00BF17C1">
        <w:rPr>
          <w:color w:val="0E101A"/>
        </w:rPr>
        <w:t>, 2007)</w:t>
      </w:r>
      <w:r w:rsidR="002337E9">
        <w:rPr>
          <w:rStyle w:val="FootnoteReference"/>
          <w:color w:val="0E101A"/>
        </w:rPr>
        <w:footnoteReference w:id="6"/>
      </w:r>
      <w:r>
        <w:rPr>
          <w:color w:val="0E101A"/>
        </w:rPr>
        <w:t>. </w:t>
      </w:r>
    </w:p>
    <w:p w14:paraId="048EACF0" w14:textId="67F37723" w:rsidR="007350D6" w:rsidRDefault="007350D6" w:rsidP="004C05A7">
      <w:pPr>
        <w:pStyle w:val="NormalWeb"/>
        <w:spacing w:before="0" w:beforeAutospacing="0" w:after="0" w:afterAutospacing="0" w:line="480" w:lineRule="auto"/>
        <w:ind w:firstLine="720"/>
        <w:rPr>
          <w:color w:val="0E101A"/>
        </w:rPr>
      </w:pPr>
      <w:r>
        <w:rPr>
          <w:color w:val="0E101A"/>
        </w:rPr>
        <w:t>Notably, the need of caudillo leader was necessary because of the structure of governance created by the colonial masters. Bos (2015) noted that the colonial apparatus of the Latin American countries colonized by the Spanish, were designed to ensure the masters kept power in their hands in the post-independence</w:t>
      </w:r>
      <w:r w:rsidR="00BF17C1">
        <w:rPr>
          <w:color w:val="0E101A"/>
        </w:rPr>
        <w:t xml:space="preserve"> (Bos, 2015)</w:t>
      </w:r>
      <w:r w:rsidR="00511365">
        <w:rPr>
          <w:rStyle w:val="FootnoteReference"/>
          <w:color w:val="0E101A"/>
        </w:rPr>
        <w:footnoteReference w:id="7"/>
      </w:r>
      <w:r>
        <w:rPr>
          <w:color w:val="0E101A"/>
        </w:rPr>
        <w:t xml:space="preserve">. It is worth </w:t>
      </w:r>
      <w:r w:rsidR="00CF71B7">
        <w:rPr>
          <w:color w:val="0E101A"/>
        </w:rPr>
        <w:t>noting that</w:t>
      </w:r>
      <w:r>
        <w:rPr>
          <w:color w:val="0E101A"/>
        </w:rPr>
        <w:t xml:space="preserve"> as San Martin was leading the military to fight for the independence of Argentina, the Spanish crown endeavored in </w:t>
      </w:r>
      <w:r>
        <w:rPr>
          <w:color w:val="0E101A"/>
        </w:rPr>
        <w:lastRenderedPageBreak/>
        <w:t>strengthening the already robust approach in the ruling of the provinces. One of the most apparent trend</w:t>
      </w:r>
      <w:r w:rsidR="00CF71B7">
        <w:rPr>
          <w:color w:val="0E101A"/>
        </w:rPr>
        <w:t xml:space="preserve">s </w:t>
      </w:r>
      <w:r>
        <w:rPr>
          <w:color w:val="0E101A"/>
        </w:rPr>
        <w:t>was weakening of the leaders who were born in Spanish. Bos (2015) noted that the Spanish regime removed the limited power, which the inhabitants had acquired</w:t>
      </w:r>
      <w:r w:rsidR="00BF17C1">
        <w:rPr>
          <w:color w:val="0E101A"/>
        </w:rPr>
        <w:t xml:space="preserve"> (Bos, 2015)</w:t>
      </w:r>
      <w:r w:rsidR="00511365">
        <w:rPr>
          <w:rStyle w:val="FootnoteReference"/>
          <w:color w:val="0E101A"/>
        </w:rPr>
        <w:footnoteReference w:id="8"/>
      </w:r>
      <w:r>
        <w:rPr>
          <w:color w:val="0E101A"/>
        </w:rPr>
        <w:t>. Specifically, the Criollos (people of Spanish descent but born in Latin America)</w:t>
      </w:r>
      <w:r w:rsidR="00CF71B7">
        <w:rPr>
          <w:color w:val="0E101A"/>
        </w:rPr>
        <w:t xml:space="preserve"> were removed from the bureaucratic positions that were deemed important and instead the </w:t>
      </w:r>
      <w:proofErr w:type="spellStart"/>
      <w:r w:rsidR="00CF71B7">
        <w:rPr>
          <w:color w:val="0E101A"/>
        </w:rPr>
        <w:t>peninuslares</w:t>
      </w:r>
      <w:proofErr w:type="spellEnd"/>
      <w:r w:rsidR="00CF71B7">
        <w:rPr>
          <w:color w:val="0E101A"/>
        </w:rPr>
        <w:t xml:space="preserve"> (colonists born in Spain), were appointed to lead the positions. The trend was apparent in Argentina during the struggle for independence, which extended from 1810 to 1818, where only 12 of the 99 judges of</w:t>
      </w:r>
      <w:r w:rsidR="006223F4">
        <w:rPr>
          <w:color w:val="0E101A"/>
        </w:rPr>
        <w:t xml:space="preserve"> </w:t>
      </w:r>
      <w:r w:rsidR="00CF71B7">
        <w:rPr>
          <w:color w:val="0E101A"/>
        </w:rPr>
        <w:t xml:space="preserve">the colonial </w:t>
      </w:r>
      <w:proofErr w:type="spellStart"/>
      <w:r w:rsidR="00CF71B7">
        <w:rPr>
          <w:color w:val="0E101A"/>
        </w:rPr>
        <w:t>audencials</w:t>
      </w:r>
      <w:proofErr w:type="spellEnd"/>
      <w:r w:rsidR="00CF71B7">
        <w:rPr>
          <w:color w:val="0E101A"/>
        </w:rPr>
        <w:t xml:space="preserve"> were born in Argentina; the rest were colonialists </w:t>
      </w:r>
      <w:r w:rsidR="006223F4">
        <w:rPr>
          <w:color w:val="0E101A"/>
        </w:rPr>
        <w:t>born in Spain</w:t>
      </w:r>
      <w:r w:rsidR="00BF17C1">
        <w:rPr>
          <w:color w:val="0E101A"/>
        </w:rPr>
        <w:t xml:space="preserve"> (Bos,2015)</w:t>
      </w:r>
      <w:r w:rsidR="00511365">
        <w:rPr>
          <w:rStyle w:val="FootnoteReference"/>
          <w:color w:val="0E101A"/>
        </w:rPr>
        <w:footnoteReference w:id="9"/>
      </w:r>
      <w:r w:rsidR="00CF71B7">
        <w:rPr>
          <w:color w:val="0E101A"/>
        </w:rPr>
        <w:t xml:space="preserve">. </w:t>
      </w:r>
    </w:p>
    <w:p w14:paraId="7BAB4DDE" w14:textId="2810DF54" w:rsidR="006223F4" w:rsidRDefault="006223F4" w:rsidP="004C05A7">
      <w:pPr>
        <w:pStyle w:val="NormalWeb"/>
        <w:spacing w:before="0" w:beforeAutospacing="0" w:after="0" w:afterAutospacing="0" w:line="480" w:lineRule="auto"/>
        <w:ind w:firstLine="720"/>
        <w:rPr>
          <w:color w:val="0E101A"/>
        </w:rPr>
      </w:pPr>
      <w:r>
        <w:rPr>
          <w:color w:val="0E101A"/>
        </w:rPr>
        <w:t xml:space="preserve">At independence in 1818, the governance of the Argentina appeared to be well institutionalized. However, with a large group of Spanish colonialists holding strong bureaucratic positions, the system was </w:t>
      </w:r>
      <w:r w:rsidR="005378C5">
        <w:rPr>
          <w:color w:val="0E101A"/>
        </w:rPr>
        <w:t xml:space="preserve">still in a form of colonial system. The model of governance post-independence resulted in inferior criollos in the structure of governance in the country. Also, the setting of the military resembled the model of the governance structure with most militias deployed straight from Spain. Thus, in leading the nation and unifying the weakened criollos, Rosas needed a monopoly of power to control the inner operations of the nation., and create a string military that would control the political and economic factors in the provinces. Therefore, </w:t>
      </w:r>
      <w:r w:rsidR="00397D90">
        <w:rPr>
          <w:color w:val="0E101A"/>
        </w:rPr>
        <w:t xml:space="preserve">the government structure that were created by the Spanish colonialists required Rosas to have a </w:t>
      </w:r>
      <w:r w:rsidR="00397D90">
        <w:rPr>
          <w:color w:val="0E101A"/>
        </w:rPr>
        <w:lastRenderedPageBreak/>
        <w:t>monopoly of power in order to control them and restore political and economical sanity in the region.</w:t>
      </w:r>
      <w:r w:rsidR="005378C5">
        <w:rPr>
          <w:color w:val="0E101A"/>
        </w:rPr>
        <w:t xml:space="preserve"> </w:t>
      </w:r>
    </w:p>
    <w:p w14:paraId="4B5AFCD3" w14:textId="4B6CE4A8" w:rsidR="008A681D" w:rsidRDefault="008A681D" w:rsidP="004C05A7">
      <w:pPr>
        <w:pStyle w:val="NormalWeb"/>
        <w:spacing w:before="0" w:beforeAutospacing="0" w:after="0" w:afterAutospacing="0" w:line="480" w:lineRule="auto"/>
        <w:ind w:firstLine="720"/>
        <w:rPr>
          <w:color w:val="0E101A"/>
        </w:rPr>
      </w:pPr>
      <w:r>
        <w:rPr>
          <w:color w:val="0E101A"/>
        </w:rPr>
        <w:t xml:space="preserve">In his first term that started in 1929 and ended in 1932, Rosa's primary agenda was the restoration of peace. The first term was marked by his efforts to strengthen the </w:t>
      </w:r>
      <w:r w:rsidR="00BA5F3A">
        <w:rPr>
          <w:color w:val="0E101A"/>
        </w:rPr>
        <w:t>military</w:t>
      </w:r>
      <w:r>
        <w:rPr>
          <w:color w:val="0E101A"/>
        </w:rPr>
        <w:t>, support and strengthen the catholic church, protect the agricultural interests, and establish government financial credit</w:t>
      </w:r>
      <w:r w:rsidR="00BF17C1">
        <w:rPr>
          <w:color w:val="0E101A"/>
        </w:rPr>
        <w:t xml:space="preserve"> (</w:t>
      </w:r>
      <w:proofErr w:type="spellStart"/>
      <w:r w:rsidR="00BF17C1">
        <w:rPr>
          <w:color w:val="0E101A"/>
        </w:rPr>
        <w:t>Gordin</w:t>
      </w:r>
      <w:proofErr w:type="spellEnd"/>
      <w:r w:rsidR="00BF17C1">
        <w:rPr>
          <w:color w:val="0E101A"/>
        </w:rPr>
        <w:t>, 2010)</w:t>
      </w:r>
      <w:r w:rsidR="002337E9">
        <w:rPr>
          <w:rStyle w:val="FootnoteReference"/>
          <w:color w:val="0E101A"/>
        </w:rPr>
        <w:footnoteReference w:id="10"/>
      </w:r>
      <w:r>
        <w:rPr>
          <w:color w:val="0E101A"/>
        </w:rPr>
        <w:t xml:space="preserve">. He restored peace throughout the province by leading the federalist party against the </w:t>
      </w:r>
      <w:proofErr w:type="spellStart"/>
      <w:r>
        <w:rPr>
          <w:color w:val="0E101A"/>
        </w:rPr>
        <w:t>unitarios</w:t>
      </w:r>
      <w:proofErr w:type="spellEnd"/>
      <w:r>
        <w:rPr>
          <w:color w:val="0E101A"/>
        </w:rPr>
        <w:t>, who were calling for Argentina to adopt a state model similar to the countries emerging in North America and other parts of Europe. </w:t>
      </w:r>
      <w:r w:rsidR="00BA5F3A">
        <w:rPr>
          <w:color w:val="0E101A"/>
        </w:rPr>
        <w:t xml:space="preserve">As a land owner himself, Rosas helped further the interests of the Argentinian land owners, which strengthened them economically. While people tend to question the actions of Rosas in strengthening schools and churches to help perpetuate his legacy and tyrannical policies, the strengthening of institutions was a great trend that remains vibrant to the contemporary. In a letter that was crafted by Manuel Garcia in relation to Rosas attempt to end the conflict among the Argentinian provinces, Garcia noted that the powers of caudillos in other provinces were significantly low compared to those of the chief of the Buenos Aires; this implied a reduction of civil wars because </w:t>
      </w:r>
      <w:r w:rsidR="00F358FA">
        <w:rPr>
          <w:color w:val="0E101A"/>
        </w:rPr>
        <w:t>Rosas was determined to maintain peace keeping power. Therefore, Rosas accumulation of tyrannical powers was a strategy to promote the interests of the Argentina.</w:t>
      </w:r>
    </w:p>
    <w:p w14:paraId="7CA1FBA5" w14:textId="3853DE0A" w:rsidR="008A681D" w:rsidRDefault="008A681D" w:rsidP="004C05A7">
      <w:pPr>
        <w:pStyle w:val="NormalWeb"/>
        <w:spacing w:before="0" w:beforeAutospacing="0" w:after="0" w:afterAutospacing="0" w:line="480" w:lineRule="auto"/>
        <w:ind w:firstLine="720"/>
        <w:rPr>
          <w:color w:val="0E101A"/>
        </w:rPr>
      </w:pPr>
      <w:r>
        <w:rPr>
          <w:color w:val="0E101A"/>
        </w:rPr>
        <w:t xml:space="preserve">There were Argentine masses that supported the leadership of Rosas. Notably, there were liberal opponents, caudillos, poets, and publishers who opposed Rosa's regime. A substantial group of Argentinian masses supported Rosa's work. A short story by Esteban Echeverria, El </w:t>
      </w:r>
      <w:proofErr w:type="spellStart"/>
      <w:r>
        <w:rPr>
          <w:color w:val="0E101A"/>
        </w:rPr>
        <w:t>matadero</w:t>
      </w:r>
      <w:proofErr w:type="spellEnd"/>
      <w:r>
        <w:rPr>
          <w:color w:val="0E101A"/>
        </w:rPr>
        <w:t xml:space="preserve"> (slaughter yard), paints the picture of how the masses destroyed reading materials that </w:t>
      </w:r>
      <w:r>
        <w:rPr>
          <w:color w:val="0E101A"/>
        </w:rPr>
        <w:lastRenderedPageBreak/>
        <w:t>were used to rally efforts for ousting the incumbent caudillo governor</w:t>
      </w:r>
      <w:r w:rsidR="004C05A7">
        <w:rPr>
          <w:color w:val="0E101A"/>
        </w:rPr>
        <w:t xml:space="preserve"> (Echeverria, 1871</w:t>
      </w:r>
      <w:r w:rsidR="00F358FA">
        <w:rPr>
          <w:rStyle w:val="FootnoteReference"/>
          <w:color w:val="0E101A"/>
        </w:rPr>
        <w:footnoteReference w:id="11"/>
      </w:r>
      <w:r>
        <w:rPr>
          <w:color w:val="0E101A"/>
        </w:rPr>
        <w:t>. Specifically, with Rosas focusing mostly on strengthening Buenos Aires over other provinces, the rift between the provinces surged, perpetuating civil war through the region. Rosas understood the dangers of civil wars in creating political instability. As a result, Rosas consolidated his dictatorial powers and used private police known as the </w:t>
      </w:r>
      <w:proofErr w:type="spellStart"/>
      <w:r>
        <w:rPr>
          <w:rStyle w:val="Emphasis"/>
          <w:color w:val="0E101A"/>
        </w:rPr>
        <w:t>mazorcas</w:t>
      </w:r>
      <w:proofErr w:type="spellEnd"/>
      <w:r>
        <w:rPr>
          <w:color w:val="0E101A"/>
        </w:rPr>
        <w:t> to silence the critiques. The net outcome was opponents running for safety in the neighboring nations and used other alternative means such as writings to incite the public. </w:t>
      </w:r>
    </w:p>
    <w:p w14:paraId="6D3FF6B4" w14:textId="578ED774" w:rsidR="008A681D" w:rsidRDefault="008A681D" w:rsidP="004C05A7">
      <w:pPr>
        <w:pStyle w:val="NormalWeb"/>
        <w:spacing w:before="0" w:beforeAutospacing="0" w:after="0" w:afterAutospacing="0" w:line="480" w:lineRule="auto"/>
        <w:ind w:firstLine="720"/>
        <w:rPr>
          <w:color w:val="0E101A"/>
        </w:rPr>
      </w:pPr>
      <w:r>
        <w:rPr>
          <w:color w:val="0E101A"/>
        </w:rPr>
        <w:t xml:space="preserve">Despite Rosa's indispensable role in Argentinian nationalism, violence and assassinations were contemporaneous in his rule. In the book "Blood tables: it is a holy action to kill," Rivera </w:t>
      </w:r>
      <w:proofErr w:type="spellStart"/>
      <w:r>
        <w:rPr>
          <w:color w:val="0E101A"/>
        </w:rPr>
        <w:t>Idarte</w:t>
      </w:r>
      <w:proofErr w:type="spellEnd"/>
      <w:r>
        <w:rPr>
          <w:color w:val="0E101A"/>
        </w:rPr>
        <w:t>, who attacked Rosas while in exile through writings, alluded that Rosas contributed to the assassination of about 722 individuals, shot 1393 people, and beheaded 3765 individuals, who were against his rule</w:t>
      </w:r>
      <w:r w:rsidR="004C05A7">
        <w:rPr>
          <w:color w:val="0E101A"/>
        </w:rPr>
        <w:t xml:space="preserve"> (</w:t>
      </w:r>
      <w:proofErr w:type="spellStart"/>
      <w:r w:rsidR="004C05A7">
        <w:rPr>
          <w:color w:val="0E101A"/>
        </w:rPr>
        <w:t>Idarte</w:t>
      </w:r>
      <w:proofErr w:type="spellEnd"/>
      <w:r w:rsidR="004C05A7">
        <w:rPr>
          <w:color w:val="0E101A"/>
        </w:rPr>
        <w:t>, 1843)</w:t>
      </w:r>
      <w:r w:rsidR="00511365">
        <w:rPr>
          <w:rStyle w:val="FootnoteReference"/>
          <w:color w:val="0E101A"/>
        </w:rPr>
        <w:footnoteReference w:id="12"/>
      </w:r>
      <w:r>
        <w:rPr>
          <w:color w:val="0E101A"/>
        </w:rPr>
        <w:t xml:space="preserve">. Scholars such as Alberto </w:t>
      </w:r>
      <w:proofErr w:type="spellStart"/>
      <w:r>
        <w:rPr>
          <w:color w:val="0E101A"/>
        </w:rPr>
        <w:t>Palcos</w:t>
      </w:r>
      <w:proofErr w:type="spellEnd"/>
      <w:r>
        <w:rPr>
          <w:color w:val="0E101A"/>
        </w:rPr>
        <w:t xml:space="preserve"> have questioned the reliability of the allegations by </w:t>
      </w:r>
      <w:proofErr w:type="spellStart"/>
      <w:r>
        <w:rPr>
          <w:color w:val="0E101A"/>
        </w:rPr>
        <w:t>Idarte</w:t>
      </w:r>
      <w:proofErr w:type="spellEnd"/>
      <w:r>
        <w:rPr>
          <w:color w:val="0E101A"/>
        </w:rPr>
        <w:t xml:space="preserve">. </w:t>
      </w:r>
      <w:proofErr w:type="spellStart"/>
      <w:r>
        <w:rPr>
          <w:color w:val="0E101A"/>
        </w:rPr>
        <w:t>Palcos</w:t>
      </w:r>
      <w:proofErr w:type="spellEnd"/>
      <w:r>
        <w:rPr>
          <w:color w:val="0E101A"/>
        </w:rPr>
        <w:t xml:space="preserve"> describe the "Blood Tables" as a defamation book with immoral terminologies and attack on Rosas. Thus, most of the writings against Rosas, especially from the liberal opponents who had fled from Argentina, are the typical struggle of the federalists and </w:t>
      </w:r>
      <w:proofErr w:type="spellStart"/>
      <w:r>
        <w:rPr>
          <w:color w:val="0E101A"/>
        </w:rPr>
        <w:t>unitarios</w:t>
      </w:r>
      <w:proofErr w:type="spellEnd"/>
      <w:r>
        <w:rPr>
          <w:color w:val="0E101A"/>
        </w:rPr>
        <w:t xml:space="preserve">; this means that unless substantiated, most of the writings cannot be used as evidence to underpin Rosas as a reactionary dictator. Most of the critiques, predominantly the liberal opponents, dubbed his tenure as the "Tyranny of Rosas." However, it is noteworthy that while the </w:t>
      </w:r>
      <w:proofErr w:type="spellStart"/>
      <w:r>
        <w:rPr>
          <w:color w:val="0E101A"/>
        </w:rPr>
        <w:t>unitarios</w:t>
      </w:r>
      <w:proofErr w:type="spellEnd"/>
      <w:r>
        <w:rPr>
          <w:color w:val="0E101A"/>
        </w:rPr>
        <w:t xml:space="preserve"> fought for a central ruling government reminiscent of the western models like most North American and European countries, the interests of the people in </w:t>
      </w:r>
      <w:r>
        <w:rPr>
          <w:color w:val="0E101A"/>
        </w:rPr>
        <w:lastRenderedPageBreak/>
        <w:t>their writings were obscure. In contrast, Rosas' interests were domestic and international peace, and the use of excess power to curb the opponents who contributed to surging the military tensions was applicable</w:t>
      </w:r>
      <w:r w:rsidR="004C05A7">
        <w:rPr>
          <w:color w:val="0E101A"/>
        </w:rPr>
        <w:t xml:space="preserve"> (</w:t>
      </w:r>
      <w:proofErr w:type="spellStart"/>
      <w:r w:rsidR="004C05A7">
        <w:rPr>
          <w:color w:val="0E101A"/>
        </w:rPr>
        <w:t>Gordin</w:t>
      </w:r>
      <w:proofErr w:type="spellEnd"/>
      <w:r w:rsidR="004C05A7">
        <w:rPr>
          <w:color w:val="0E101A"/>
        </w:rPr>
        <w:t>, 2010)</w:t>
      </w:r>
      <w:r w:rsidR="00511365">
        <w:rPr>
          <w:rStyle w:val="FootnoteReference"/>
          <w:color w:val="0E101A"/>
        </w:rPr>
        <w:footnoteReference w:id="13"/>
      </w:r>
      <w:r>
        <w:rPr>
          <w:color w:val="0E101A"/>
        </w:rPr>
        <w:t>. In 'The Epoch of Rosas' a monograph publication by Ernesto Quesada, who was a historian, a sociologist, and a lawyer in Buenos Aires, he came up with compelling conclusion that the rule of Rosas was typical of his age</w:t>
      </w:r>
      <w:r w:rsidR="004C05A7">
        <w:rPr>
          <w:color w:val="0E101A"/>
        </w:rPr>
        <w:t xml:space="preserve"> (Quesada, 1923)</w:t>
      </w:r>
      <w:r w:rsidR="00F358FA">
        <w:rPr>
          <w:rStyle w:val="FootnoteReference"/>
          <w:color w:val="0E101A"/>
        </w:rPr>
        <w:footnoteReference w:id="14"/>
      </w:r>
      <w:r>
        <w:rPr>
          <w:color w:val="0E101A"/>
        </w:rPr>
        <w:t>. Also, Quesada noted that Rosas, despite his tyrannical rule, laid wide and deep foundation, on which the current Argentina is strongly erected</w:t>
      </w:r>
      <w:r w:rsidR="004C05A7">
        <w:rPr>
          <w:color w:val="0E101A"/>
        </w:rPr>
        <w:t xml:space="preserve"> (Quesada, 1923)</w:t>
      </w:r>
      <w:r w:rsidR="00F358FA">
        <w:rPr>
          <w:rStyle w:val="FootnoteReference"/>
          <w:color w:val="0E101A"/>
        </w:rPr>
        <w:footnoteReference w:id="15"/>
      </w:r>
      <w:r>
        <w:rPr>
          <w:color w:val="0E101A"/>
        </w:rPr>
        <w:t>. Thus, the critiques' view on Rosas rule is partially biased. They only note the negative issues he created during his tenure; however, there are various pros notable by other people who integrate a holistic view of the Rosas.</w:t>
      </w:r>
    </w:p>
    <w:p w14:paraId="438028F9" w14:textId="120226AB" w:rsidR="00511365" w:rsidRDefault="00511365" w:rsidP="004C05A7">
      <w:pPr>
        <w:pStyle w:val="NormalWeb"/>
        <w:spacing w:before="0" w:beforeAutospacing="0" w:after="0" w:afterAutospacing="0" w:line="480" w:lineRule="auto"/>
        <w:ind w:firstLine="720"/>
        <w:jc w:val="center"/>
        <w:rPr>
          <w:color w:val="0E101A"/>
        </w:rPr>
      </w:pPr>
      <w:r>
        <w:rPr>
          <w:color w:val="0E101A"/>
        </w:rPr>
        <w:t>Conclusion</w:t>
      </w:r>
    </w:p>
    <w:p w14:paraId="49E84AB4" w14:textId="35A87C9F" w:rsidR="008A681D" w:rsidRDefault="008A681D" w:rsidP="004C05A7">
      <w:pPr>
        <w:pStyle w:val="NormalWeb"/>
        <w:spacing w:before="0" w:beforeAutospacing="0" w:after="0" w:afterAutospacing="0" w:line="480" w:lineRule="auto"/>
        <w:ind w:firstLine="720"/>
        <w:rPr>
          <w:color w:val="0E101A"/>
        </w:rPr>
      </w:pPr>
      <w:r>
        <w:rPr>
          <w:color w:val="0E101A"/>
        </w:rPr>
        <w:t xml:space="preserve">In summation, to understand the role of Rosas in Argentinian nationalism, it is prudent to look at the politics of the 19th century. The Critiques of Rosa's regime consider him as a quintessential </w:t>
      </w:r>
      <w:r w:rsidR="001E22B7">
        <w:rPr>
          <w:color w:val="0E101A"/>
        </w:rPr>
        <w:t>caudillo;</w:t>
      </w:r>
      <w:r>
        <w:rPr>
          <w:color w:val="0E101A"/>
        </w:rPr>
        <w:t xml:space="preserve"> At the same time, it is correct to refer Rosas as a caudillo, it is worth to acknowledge that the dictatorial powers were granted to him by the provincial legislature. Moreover, the Rosas critiques were the </w:t>
      </w:r>
      <w:proofErr w:type="spellStart"/>
      <w:r>
        <w:rPr>
          <w:color w:val="0E101A"/>
        </w:rPr>
        <w:t>unitarios</w:t>
      </w:r>
      <w:proofErr w:type="spellEnd"/>
      <w:r>
        <w:rPr>
          <w:color w:val="0E101A"/>
        </w:rPr>
        <w:t xml:space="preserve">, who were not interested in handling the prevailing problems at that time. Notably, after the liberation of Argentina from the colonial regime, the leaders had to grapple with the problems such as unity among the provinces as well as the vast swathes of land, which were marked as owned by natives. Instead of solving the prevailing problems, the </w:t>
      </w:r>
      <w:proofErr w:type="spellStart"/>
      <w:r>
        <w:rPr>
          <w:color w:val="0E101A"/>
        </w:rPr>
        <w:t>unitarios</w:t>
      </w:r>
      <w:proofErr w:type="spellEnd"/>
      <w:r>
        <w:rPr>
          <w:color w:val="0E101A"/>
        </w:rPr>
        <w:t xml:space="preserve"> were struggling for a centralized government, which would bar </w:t>
      </w:r>
      <w:r>
        <w:rPr>
          <w:color w:val="0E101A"/>
        </w:rPr>
        <w:lastRenderedPageBreak/>
        <w:t xml:space="preserve">the distribution of commercial taxes to the other provinces. In contrast, while Rosas was more of an advocate of the Buenos Aires province, he furthered the interests of the landowners and fought for national unity as well as an international standing, which provided future leaders with a strong foundation to develop Argentina. Therefore, while Rosas regime entailed alienating of critiques, especially the </w:t>
      </w:r>
      <w:proofErr w:type="spellStart"/>
      <w:r>
        <w:rPr>
          <w:color w:val="0E101A"/>
        </w:rPr>
        <w:t>unitarios</w:t>
      </w:r>
      <w:proofErr w:type="spellEnd"/>
      <w:r>
        <w:rPr>
          <w:color w:val="0E101A"/>
        </w:rPr>
        <w:t xml:space="preserve"> and caudillos who were fighting against the dominance of the Buenos Aires province, he achieved what other leaders failed: national unity and international position that positioned Argentina on a strong foundation for the future. The role of Rosas in the 1800s politics of Argentina resonates with </w:t>
      </w:r>
      <w:proofErr w:type="spellStart"/>
      <w:r>
        <w:rPr>
          <w:color w:val="0E101A"/>
        </w:rPr>
        <w:t>Ebenstein</w:t>
      </w:r>
      <w:proofErr w:type="spellEnd"/>
      <w:r>
        <w:rPr>
          <w:color w:val="0E101A"/>
        </w:rPr>
        <w:t xml:space="preserve"> description of nationalism, which is the driving force of national, international, and imperial politics. Rosas achieved the three by strengthening his own party, furthering the interests of Bueno Aires land owners, and bringing peace among the provinces. Therefore, Juan Manuel de Rosas was a central figure in the foundation of Argentina nationalism despite the dictatorial means he used to achieve the goal.</w:t>
      </w:r>
    </w:p>
    <w:p w14:paraId="025BB0A3" w14:textId="77777777" w:rsidR="004C05A7" w:rsidRDefault="004C05A7" w:rsidP="004C05A7">
      <w:pPr>
        <w:pStyle w:val="NormalWeb"/>
        <w:spacing w:before="0" w:beforeAutospacing="0" w:after="0" w:afterAutospacing="0" w:line="480" w:lineRule="auto"/>
        <w:jc w:val="center"/>
        <w:rPr>
          <w:color w:val="0E101A"/>
        </w:rPr>
      </w:pPr>
    </w:p>
    <w:p w14:paraId="546E1231" w14:textId="77777777" w:rsidR="004C05A7" w:rsidRDefault="004C05A7" w:rsidP="004C05A7">
      <w:pPr>
        <w:pStyle w:val="NormalWeb"/>
        <w:spacing w:before="0" w:beforeAutospacing="0" w:after="0" w:afterAutospacing="0" w:line="480" w:lineRule="auto"/>
        <w:jc w:val="center"/>
        <w:rPr>
          <w:color w:val="0E101A"/>
        </w:rPr>
      </w:pPr>
    </w:p>
    <w:p w14:paraId="6CE48F55" w14:textId="77777777" w:rsidR="004C05A7" w:rsidRDefault="004C05A7" w:rsidP="004C05A7">
      <w:pPr>
        <w:pStyle w:val="NormalWeb"/>
        <w:spacing w:before="0" w:beforeAutospacing="0" w:after="0" w:afterAutospacing="0" w:line="480" w:lineRule="auto"/>
        <w:jc w:val="center"/>
        <w:rPr>
          <w:color w:val="0E101A"/>
        </w:rPr>
      </w:pPr>
    </w:p>
    <w:p w14:paraId="32F4ED96" w14:textId="77777777" w:rsidR="004C05A7" w:rsidRDefault="004C05A7" w:rsidP="004C05A7">
      <w:pPr>
        <w:pStyle w:val="NormalWeb"/>
        <w:spacing w:before="0" w:beforeAutospacing="0" w:after="0" w:afterAutospacing="0" w:line="480" w:lineRule="auto"/>
        <w:jc w:val="center"/>
        <w:rPr>
          <w:color w:val="0E101A"/>
        </w:rPr>
      </w:pPr>
    </w:p>
    <w:p w14:paraId="59CE742B" w14:textId="77777777" w:rsidR="004C05A7" w:rsidRDefault="004C05A7" w:rsidP="004C05A7">
      <w:pPr>
        <w:pStyle w:val="NormalWeb"/>
        <w:spacing w:before="0" w:beforeAutospacing="0" w:after="0" w:afterAutospacing="0" w:line="480" w:lineRule="auto"/>
        <w:jc w:val="center"/>
        <w:rPr>
          <w:color w:val="0E101A"/>
        </w:rPr>
      </w:pPr>
    </w:p>
    <w:p w14:paraId="494A902D" w14:textId="77777777" w:rsidR="004C05A7" w:rsidRDefault="004C05A7" w:rsidP="004C05A7">
      <w:pPr>
        <w:pStyle w:val="NormalWeb"/>
        <w:spacing w:before="0" w:beforeAutospacing="0" w:after="0" w:afterAutospacing="0" w:line="480" w:lineRule="auto"/>
        <w:jc w:val="center"/>
        <w:rPr>
          <w:color w:val="0E101A"/>
        </w:rPr>
      </w:pPr>
    </w:p>
    <w:p w14:paraId="62BCBE2D" w14:textId="77777777" w:rsidR="004C05A7" w:rsidRDefault="004C05A7" w:rsidP="004C05A7">
      <w:pPr>
        <w:pStyle w:val="NormalWeb"/>
        <w:spacing w:before="0" w:beforeAutospacing="0" w:after="0" w:afterAutospacing="0" w:line="480" w:lineRule="auto"/>
        <w:jc w:val="center"/>
        <w:rPr>
          <w:color w:val="0E101A"/>
        </w:rPr>
      </w:pPr>
    </w:p>
    <w:p w14:paraId="7BA398D0" w14:textId="77777777" w:rsidR="004C05A7" w:rsidRDefault="004C05A7" w:rsidP="004C05A7">
      <w:pPr>
        <w:pStyle w:val="NormalWeb"/>
        <w:spacing w:before="0" w:beforeAutospacing="0" w:after="0" w:afterAutospacing="0" w:line="480" w:lineRule="auto"/>
        <w:jc w:val="center"/>
        <w:rPr>
          <w:color w:val="0E101A"/>
        </w:rPr>
      </w:pPr>
    </w:p>
    <w:p w14:paraId="481D4C29" w14:textId="77777777" w:rsidR="004C05A7" w:rsidRDefault="004C05A7" w:rsidP="004C05A7">
      <w:pPr>
        <w:pStyle w:val="NormalWeb"/>
        <w:spacing w:before="0" w:beforeAutospacing="0" w:after="0" w:afterAutospacing="0" w:line="480" w:lineRule="auto"/>
        <w:jc w:val="center"/>
        <w:rPr>
          <w:color w:val="0E101A"/>
        </w:rPr>
      </w:pPr>
    </w:p>
    <w:p w14:paraId="384CFF8C" w14:textId="77777777" w:rsidR="004C05A7" w:rsidRDefault="004C05A7" w:rsidP="004C05A7">
      <w:pPr>
        <w:pStyle w:val="NormalWeb"/>
        <w:spacing w:before="0" w:beforeAutospacing="0" w:after="0" w:afterAutospacing="0" w:line="480" w:lineRule="auto"/>
        <w:jc w:val="center"/>
        <w:rPr>
          <w:color w:val="0E101A"/>
        </w:rPr>
      </w:pPr>
    </w:p>
    <w:p w14:paraId="2711BD55" w14:textId="77777777" w:rsidR="004C05A7" w:rsidRDefault="004C05A7" w:rsidP="004C05A7">
      <w:pPr>
        <w:pStyle w:val="NormalWeb"/>
        <w:spacing w:before="0" w:beforeAutospacing="0" w:after="0" w:afterAutospacing="0" w:line="480" w:lineRule="auto"/>
        <w:jc w:val="center"/>
        <w:rPr>
          <w:color w:val="0E101A"/>
        </w:rPr>
      </w:pPr>
    </w:p>
    <w:p w14:paraId="1BC1BA6D" w14:textId="27F96E85" w:rsidR="002337E9" w:rsidRDefault="002337E9" w:rsidP="004C05A7">
      <w:pPr>
        <w:pStyle w:val="NormalWeb"/>
        <w:spacing w:before="0" w:beforeAutospacing="0" w:after="0" w:afterAutospacing="0" w:line="480" w:lineRule="auto"/>
        <w:jc w:val="center"/>
        <w:rPr>
          <w:color w:val="0E101A"/>
        </w:rPr>
      </w:pPr>
      <w:r>
        <w:rPr>
          <w:color w:val="0E101A"/>
        </w:rPr>
        <w:lastRenderedPageBreak/>
        <w:t>References</w:t>
      </w:r>
    </w:p>
    <w:p w14:paraId="53869BE1" w14:textId="77777777" w:rsidR="00F358FA" w:rsidRPr="002337E9" w:rsidRDefault="00F358FA" w:rsidP="004C05A7">
      <w:pPr>
        <w:pStyle w:val="Bibliography"/>
        <w:numPr>
          <w:ilvl w:val="0"/>
          <w:numId w:val="1"/>
        </w:numPr>
        <w:spacing w:line="480" w:lineRule="auto"/>
        <w:rPr>
          <w:noProof/>
          <w:szCs w:val="24"/>
        </w:rPr>
      </w:pPr>
      <w:r w:rsidRPr="002337E9">
        <w:rPr>
          <w:szCs w:val="24"/>
        </w:rPr>
        <w:fldChar w:fldCharType="begin"/>
      </w:r>
      <w:r w:rsidRPr="002337E9">
        <w:rPr>
          <w:szCs w:val="24"/>
        </w:rPr>
        <w:instrText xml:space="preserve"> BIBLIOGRAPHY  \l 1033 </w:instrText>
      </w:r>
      <w:r w:rsidRPr="002337E9">
        <w:rPr>
          <w:szCs w:val="24"/>
        </w:rPr>
        <w:fldChar w:fldCharType="separate"/>
      </w:r>
      <w:r w:rsidRPr="002337E9">
        <w:rPr>
          <w:noProof/>
          <w:szCs w:val="24"/>
        </w:rPr>
        <w:t xml:space="preserve">Amezola, G. 2007. "A ‘Necessary’ Dictatorship: The ‘Age of Rosas’ in Argentine History Textbooks published between 1956 and 1983 and the Defence of Authoritarianism." </w:t>
      </w:r>
      <w:r w:rsidRPr="002337E9">
        <w:rPr>
          <w:i/>
          <w:iCs/>
          <w:noProof/>
          <w:szCs w:val="24"/>
        </w:rPr>
        <w:t>International Journal of the History of Education</w:t>
      </w:r>
      <w:r w:rsidRPr="002337E9">
        <w:rPr>
          <w:noProof/>
          <w:szCs w:val="24"/>
        </w:rPr>
        <w:t xml:space="preserve"> 43 (5): 669-684. https://doi.org/10.1080/00309230701587157.</w:t>
      </w:r>
    </w:p>
    <w:p w14:paraId="6E16F268"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Bos, T. 2015. "The Age of Caudillos: Power Structures, Masculinity, and Neglect in the Argentine National Period." </w:t>
      </w:r>
      <w:r w:rsidRPr="002337E9">
        <w:rPr>
          <w:i/>
          <w:iCs/>
          <w:noProof/>
          <w:szCs w:val="24"/>
        </w:rPr>
        <w:t>Western Michigan University</w:t>
      </w:r>
      <w:r w:rsidRPr="002337E9">
        <w:rPr>
          <w:noProof/>
          <w:szCs w:val="24"/>
        </w:rPr>
        <w:t xml:space="preserve"> 1-38. Accessed December 22, 2020. https://scholarworks.wmich.edu/cgi/viewcontent.cgi?article=3562&amp;context=honors_theses.</w:t>
      </w:r>
    </w:p>
    <w:p w14:paraId="015E80A9"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Ebenstein, W. 1962. </w:t>
      </w:r>
      <w:r w:rsidRPr="002337E9">
        <w:rPr>
          <w:i/>
          <w:iCs/>
          <w:noProof/>
          <w:szCs w:val="24"/>
        </w:rPr>
        <w:t>Modern Political Thought: The Great Issues.</w:t>
      </w:r>
      <w:r w:rsidRPr="002337E9">
        <w:rPr>
          <w:noProof/>
          <w:szCs w:val="24"/>
        </w:rPr>
        <w:t xml:space="preserve"> New York: Holt, RinHart, &amp; Winstn, Inc.</w:t>
      </w:r>
    </w:p>
    <w:p w14:paraId="217A970F"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Echeverria, E. 1871. </w:t>
      </w:r>
      <w:r w:rsidRPr="002337E9">
        <w:rPr>
          <w:i/>
          <w:iCs/>
          <w:noProof/>
          <w:szCs w:val="24"/>
        </w:rPr>
        <w:t>El Matadero.</w:t>
      </w:r>
      <w:r w:rsidRPr="002337E9">
        <w:rPr>
          <w:noProof/>
          <w:szCs w:val="24"/>
        </w:rPr>
        <w:t xml:space="preserve"> New Mexico: UNM Digital Repository.</w:t>
      </w:r>
    </w:p>
    <w:p w14:paraId="7701CEBF"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Escude, C. 1988. "Argentine Territorial Nationalism." </w:t>
      </w:r>
      <w:r w:rsidRPr="002337E9">
        <w:rPr>
          <w:i/>
          <w:iCs/>
          <w:noProof/>
          <w:szCs w:val="24"/>
        </w:rPr>
        <w:t>Journal of Latin American Studies</w:t>
      </w:r>
      <w:r w:rsidRPr="002337E9">
        <w:rPr>
          <w:noProof/>
          <w:szCs w:val="24"/>
        </w:rPr>
        <w:t xml:space="preserve"> 20 (1): 139-165.</w:t>
      </w:r>
    </w:p>
    <w:p w14:paraId="1B6578DA"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Gordin, J. 2010. "Paradoxes of Federalism: Political Institutions and Fiscal Decentralizations in Argentina and Spain." </w:t>
      </w:r>
      <w:r w:rsidRPr="002337E9">
        <w:rPr>
          <w:i/>
          <w:iCs/>
          <w:noProof/>
          <w:szCs w:val="24"/>
        </w:rPr>
        <w:t>German Institute of Global and Area Studies</w:t>
      </w:r>
      <w:r w:rsidRPr="002337E9">
        <w:rPr>
          <w:noProof/>
          <w:szCs w:val="24"/>
        </w:rPr>
        <w:t xml:space="preserve"> 142-168.</w:t>
      </w:r>
    </w:p>
    <w:p w14:paraId="1ED9FE04"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Indarte, R. 1843. </w:t>
      </w:r>
      <w:r w:rsidRPr="002337E9">
        <w:rPr>
          <w:i/>
          <w:iCs/>
          <w:noProof/>
          <w:szCs w:val="24"/>
        </w:rPr>
        <w:t>Blood tables: it is a holy action to kill.</w:t>
      </w:r>
      <w:r w:rsidRPr="002337E9">
        <w:rPr>
          <w:noProof/>
          <w:szCs w:val="24"/>
        </w:rPr>
        <w:t xml:space="preserve"> </w:t>
      </w:r>
    </w:p>
    <w:p w14:paraId="2BF2A97C"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Quesada, E. 1923. </w:t>
      </w:r>
      <w:r w:rsidRPr="002337E9">
        <w:rPr>
          <w:i/>
          <w:iCs/>
          <w:noProof/>
          <w:szCs w:val="24"/>
        </w:rPr>
        <w:t>The Epoch of Rosas.</w:t>
      </w:r>
      <w:r w:rsidRPr="002337E9">
        <w:rPr>
          <w:noProof/>
          <w:szCs w:val="24"/>
        </w:rPr>
        <w:t xml:space="preserve"> </w:t>
      </w:r>
    </w:p>
    <w:p w14:paraId="175CBF35" w14:textId="77777777" w:rsidR="00F358FA" w:rsidRPr="002337E9" w:rsidRDefault="00F358FA" w:rsidP="004C05A7">
      <w:pPr>
        <w:pStyle w:val="Bibliography"/>
        <w:numPr>
          <w:ilvl w:val="0"/>
          <w:numId w:val="1"/>
        </w:numPr>
        <w:spacing w:line="480" w:lineRule="auto"/>
        <w:rPr>
          <w:noProof/>
          <w:szCs w:val="24"/>
        </w:rPr>
      </w:pPr>
      <w:r w:rsidRPr="002337E9">
        <w:rPr>
          <w:noProof/>
          <w:szCs w:val="24"/>
        </w:rPr>
        <w:lastRenderedPageBreak/>
        <w:t xml:space="preserve">Robertson, W. 1930. "Foreign Estimates of the Argentine Dictator, Juan Manuel de Rosas." </w:t>
      </w:r>
      <w:r w:rsidRPr="002337E9">
        <w:rPr>
          <w:i/>
          <w:iCs/>
          <w:noProof/>
          <w:szCs w:val="24"/>
        </w:rPr>
        <w:t>The Hispanic American Historical Review</w:t>
      </w:r>
      <w:r w:rsidRPr="002337E9">
        <w:rPr>
          <w:noProof/>
          <w:szCs w:val="24"/>
        </w:rPr>
        <w:t xml:space="preserve"> 10 (2): 125-137. https://doi.org/10.2307/2506521.</w:t>
      </w:r>
    </w:p>
    <w:p w14:paraId="5C2020D4" w14:textId="77777777" w:rsidR="00F358FA" w:rsidRPr="002337E9" w:rsidRDefault="00F358FA" w:rsidP="004C05A7">
      <w:pPr>
        <w:pStyle w:val="Bibliography"/>
        <w:numPr>
          <w:ilvl w:val="0"/>
          <w:numId w:val="1"/>
        </w:numPr>
        <w:spacing w:line="480" w:lineRule="auto"/>
        <w:rPr>
          <w:noProof/>
          <w:szCs w:val="24"/>
        </w:rPr>
      </w:pPr>
      <w:r w:rsidRPr="002337E9">
        <w:rPr>
          <w:noProof/>
          <w:szCs w:val="24"/>
        </w:rPr>
        <w:t xml:space="preserve">Sarmiento, D. 1974. </w:t>
      </w:r>
      <w:r w:rsidRPr="002337E9">
        <w:rPr>
          <w:i/>
          <w:iCs/>
          <w:noProof/>
          <w:szCs w:val="24"/>
        </w:rPr>
        <w:t>Civilizacion y Barbare: Vida de Juan Facundo Quiroga.</w:t>
      </w:r>
      <w:r w:rsidRPr="002337E9">
        <w:rPr>
          <w:noProof/>
          <w:szCs w:val="24"/>
        </w:rPr>
        <w:t xml:space="preserve"> Madrid: Editorial Nacional.</w:t>
      </w:r>
    </w:p>
    <w:p w14:paraId="5C3C6352" w14:textId="57985748" w:rsidR="00632F3B" w:rsidRPr="00F358FA" w:rsidRDefault="00F358FA" w:rsidP="004C05A7">
      <w:pPr>
        <w:spacing w:line="480" w:lineRule="auto"/>
        <w:ind w:hanging="720"/>
        <w:rPr>
          <w:sz w:val="20"/>
          <w:szCs w:val="20"/>
        </w:rPr>
      </w:pPr>
      <w:r w:rsidRPr="002337E9">
        <w:rPr>
          <w:szCs w:val="24"/>
        </w:rPr>
        <w:fldChar w:fldCharType="end"/>
      </w:r>
    </w:p>
    <w:sectPr w:rsidR="00632F3B" w:rsidRPr="00F358FA" w:rsidSect="00BF17C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DA1786" w14:textId="77777777" w:rsidR="00C54E90" w:rsidRDefault="00C54E90" w:rsidP="00F358FA">
      <w:pPr>
        <w:spacing w:after="0" w:line="240" w:lineRule="auto"/>
      </w:pPr>
      <w:r>
        <w:separator/>
      </w:r>
    </w:p>
  </w:endnote>
  <w:endnote w:type="continuationSeparator" w:id="0">
    <w:p w14:paraId="0239993A" w14:textId="77777777" w:rsidR="00C54E90" w:rsidRDefault="00C54E90" w:rsidP="00F35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0092813"/>
      <w:docPartObj>
        <w:docPartGallery w:val="Page Numbers (Bottom of Page)"/>
        <w:docPartUnique/>
      </w:docPartObj>
    </w:sdtPr>
    <w:sdtEndPr>
      <w:rPr>
        <w:noProof/>
      </w:rPr>
    </w:sdtEndPr>
    <w:sdtContent>
      <w:p w14:paraId="0F2A36C1" w14:textId="02350329" w:rsidR="00BF17C1" w:rsidRDefault="00BF17C1">
        <w:pPr>
          <w:pStyle w:val="Footer"/>
        </w:pPr>
        <w:r>
          <w:fldChar w:fldCharType="begin"/>
        </w:r>
        <w:r>
          <w:instrText xml:space="preserve"> PAGE   \* MERGEFORMAT </w:instrText>
        </w:r>
        <w:r>
          <w:fldChar w:fldCharType="separate"/>
        </w:r>
        <w:r>
          <w:rPr>
            <w:noProof/>
          </w:rPr>
          <w:t>2</w:t>
        </w:r>
        <w:r>
          <w:rPr>
            <w:noProof/>
          </w:rPr>
          <w:fldChar w:fldCharType="end"/>
        </w:r>
      </w:p>
    </w:sdtContent>
  </w:sdt>
  <w:p w14:paraId="36D7E76E" w14:textId="77777777" w:rsidR="00BF17C1" w:rsidRDefault="00BF1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3812ED" w14:textId="77777777" w:rsidR="00C54E90" w:rsidRDefault="00C54E90" w:rsidP="00F358FA">
      <w:pPr>
        <w:spacing w:after="0" w:line="240" w:lineRule="auto"/>
      </w:pPr>
      <w:r>
        <w:separator/>
      </w:r>
    </w:p>
  </w:footnote>
  <w:footnote w:type="continuationSeparator" w:id="0">
    <w:p w14:paraId="78ADA439" w14:textId="77777777" w:rsidR="00C54E90" w:rsidRDefault="00C54E90" w:rsidP="00F358FA">
      <w:pPr>
        <w:spacing w:after="0" w:line="240" w:lineRule="auto"/>
      </w:pPr>
      <w:r>
        <w:continuationSeparator/>
      </w:r>
    </w:p>
  </w:footnote>
  <w:footnote w:id="1">
    <w:p w14:paraId="58B87C16" w14:textId="77777777" w:rsidR="00F358FA" w:rsidRPr="00F358FA" w:rsidRDefault="00F358FA" w:rsidP="00F358FA">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Ebenstein, W. 1962. </w:t>
      </w:r>
      <w:r w:rsidRPr="00F358FA">
        <w:rPr>
          <w:i/>
          <w:iCs/>
          <w:noProof/>
          <w:sz w:val="20"/>
          <w:szCs w:val="20"/>
        </w:rPr>
        <w:t>Modern Political Thought: The Great Issues.</w:t>
      </w:r>
      <w:r w:rsidRPr="00F358FA">
        <w:rPr>
          <w:noProof/>
          <w:sz w:val="20"/>
          <w:szCs w:val="20"/>
        </w:rPr>
        <w:t xml:space="preserve"> New York: Holt, RinHart, &amp; Winstn, Inc.</w:t>
      </w:r>
    </w:p>
    <w:p w14:paraId="23367F44" w14:textId="387D3A86" w:rsidR="00F358FA" w:rsidRDefault="00F358FA">
      <w:pPr>
        <w:pStyle w:val="FootnoteText"/>
      </w:pPr>
    </w:p>
  </w:footnote>
  <w:footnote w:id="2">
    <w:p w14:paraId="4D9A07F6" w14:textId="77777777" w:rsidR="00F358FA" w:rsidRPr="00F358FA" w:rsidRDefault="00F358FA" w:rsidP="00F358FA">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Sarmiento, D. 1974. </w:t>
      </w:r>
      <w:r w:rsidRPr="00F358FA">
        <w:rPr>
          <w:i/>
          <w:iCs/>
          <w:noProof/>
          <w:sz w:val="20"/>
          <w:szCs w:val="20"/>
        </w:rPr>
        <w:t>Civilizacion y Barbare: Vida de Juan Facundo Quiroga.</w:t>
      </w:r>
      <w:r w:rsidRPr="00F358FA">
        <w:rPr>
          <w:noProof/>
          <w:sz w:val="20"/>
          <w:szCs w:val="20"/>
        </w:rPr>
        <w:t xml:space="preserve"> Madrid: Editorial Nacional.</w:t>
      </w:r>
    </w:p>
    <w:p w14:paraId="4CB0F448" w14:textId="293059F6" w:rsidR="00F358FA" w:rsidRDefault="00F358FA">
      <w:pPr>
        <w:pStyle w:val="FootnoteText"/>
      </w:pPr>
    </w:p>
  </w:footnote>
  <w:footnote w:id="3">
    <w:p w14:paraId="718F8062" w14:textId="77777777" w:rsidR="00F358FA" w:rsidRPr="00F358FA" w:rsidRDefault="00F358FA" w:rsidP="00F358FA">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Escude, C. 1988. "Argentine Territorial Nationalism." </w:t>
      </w:r>
      <w:r w:rsidRPr="00F358FA">
        <w:rPr>
          <w:i/>
          <w:iCs/>
          <w:noProof/>
          <w:sz w:val="20"/>
          <w:szCs w:val="20"/>
        </w:rPr>
        <w:t>Journal of Latin American Studies</w:t>
      </w:r>
      <w:r w:rsidRPr="00F358FA">
        <w:rPr>
          <w:noProof/>
          <w:sz w:val="20"/>
          <w:szCs w:val="20"/>
        </w:rPr>
        <w:t xml:space="preserve"> 20 (1): 139-165.</w:t>
      </w:r>
    </w:p>
    <w:p w14:paraId="7B063EE9" w14:textId="293D1761" w:rsidR="00F358FA" w:rsidRDefault="00F358FA">
      <w:pPr>
        <w:pStyle w:val="FootnoteText"/>
      </w:pPr>
    </w:p>
  </w:footnote>
  <w:footnote w:id="4">
    <w:p w14:paraId="26EAA585" w14:textId="7B0DA969" w:rsidR="002337E9" w:rsidRDefault="002337E9">
      <w:pPr>
        <w:pStyle w:val="FootnoteText"/>
      </w:pPr>
      <w:r>
        <w:rPr>
          <w:rStyle w:val="FootnoteReference"/>
        </w:rPr>
        <w:footnoteRef/>
      </w:r>
      <w:r>
        <w:t xml:space="preserve"> </w:t>
      </w:r>
      <w:r w:rsidRPr="00F358FA">
        <w:rPr>
          <w:noProof/>
        </w:rPr>
        <w:t xml:space="preserve">Gordin, J. 2010. "Paradoxes of Federalism: Political Institutions and Fiscal Decentralizations in Argentina and Spain." </w:t>
      </w:r>
      <w:r w:rsidRPr="00F358FA">
        <w:rPr>
          <w:i/>
          <w:iCs/>
          <w:noProof/>
        </w:rPr>
        <w:t>German Institute of Global and Area Studies</w:t>
      </w:r>
      <w:r w:rsidRPr="00F358FA">
        <w:rPr>
          <w:noProof/>
        </w:rPr>
        <w:t xml:space="preserve"> 142-168.</w:t>
      </w:r>
    </w:p>
  </w:footnote>
  <w:footnote w:id="5">
    <w:p w14:paraId="69A8B0CA" w14:textId="77777777" w:rsidR="00511365" w:rsidRPr="00F358FA" w:rsidRDefault="00511365" w:rsidP="00511365">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Amezola, G. 2007. "A ‘Necessary’ Dictatorship: The ‘Age of Rosas’ in Argentine History Textbooks published between 1956 and 1983 and the Defence of Authoritarianism." </w:t>
      </w:r>
      <w:r w:rsidRPr="00F358FA">
        <w:rPr>
          <w:i/>
          <w:iCs/>
          <w:noProof/>
          <w:sz w:val="20"/>
          <w:szCs w:val="20"/>
        </w:rPr>
        <w:t>International Journal of the History of Education</w:t>
      </w:r>
      <w:r w:rsidRPr="00F358FA">
        <w:rPr>
          <w:noProof/>
          <w:sz w:val="20"/>
          <w:szCs w:val="20"/>
        </w:rPr>
        <w:t xml:space="preserve"> 43 (5): 669-684. https://doi.org/10.1080/00309230701587157.</w:t>
      </w:r>
    </w:p>
    <w:p w14:paraId="4578DD49" w14:textId="079324E1" w:rsidR="00511365" w:rsidRDefault="00511365">
      <w:pPr>
        <w:pStyle w:val="FootnoteText"/>
      </w:pPr>
    </w:p>
  </w:footnote>
  <w:footnote w:id="6">
    <w:p w14:paraId="032D824B" w14:textId="2BAAF20E" w:rsidR="002337E9" w:rsidRDefault="002337E9">
      <w:pPr>
        <w:pStyle w:val="FootnoteText"/>
      </w:pPr>
      <w:r>
        <w:rPr>
          <w:rStyle w:val="FootnoteReference"/>
        </w:rPr>
        <w:footnoteRef/>
      </w:r>
      <w:r>
        <w:t xml:space="preserve"> Ibid 5</w:t>
      </w:r>
    </w:p>
  </w:footnote>
  <w:footnote w:id="7">
    <w:p w14:paraId="0727807D" w14:textId="77777777" w:rsidR="00511365" w:rsidRPr="00F358FA" w:rsidRDefault="00511365" w:rsidP="00511365">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Bos, T. 2015. "The Age of Caudillos: Power Structures, Masculinity, and Neglect in the Argentine National Period." </w:t>
      </w:r>
      <w:r w:rsidRPr="00F358FA">
        <w:rPr>
          <w:i/>
          <w:iCs/>
          <w:noProof/>
          <w:sz w:val="20"/>
          <w:szCs w:val="20"/>
        </w:rPr>
        <w:t>Western Michigan University</w:t>
      </w:r>
      <w:r w:rsidRPr="00F358FA">
        <w:rPr>
          <w:noProof/>
          <w:sz w:val="20"/>
          <w:szCs w:val="20"/>
        </w:rPr>
        <w:t xml:space="preserve"> 1-38. Accessed December 22, 2020. https://scholarworks.wmich.edu/cgi/viewcontent.cgi?article=3562&amp;context=honors_theses.</w:t>
      </w:r>
    </w:p>
    <w:p w14:paraId="235EA65E" w14:textId="1178EB71" w:rsidR="00511365" w:rsidRDefault="00511365">
      <w:pPr>
        <w:pStyle w:val="FootnoteText"/>
      </w:pPr>
    </w:p>
  </w:footnote>
  <w:footnote w:id="8">
    <w:p w14:paraId="58A9CB76" w14:textId="77777777" w:rsidR="00511365" w:rsidRPr="00F358FA" w:rsidRDefault="00511365" w:rsidP="00511365">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Bos, T. 2015. "The Age of Caudillos: Power Structures, Masculinity, and Neglect in the Argentine National Period." </w:t>
      </w:r>
      <w:r w:rsidRPr="00F358FA">
        <w:rPr>
          <w:i/>
          <w:iCs/>
          <w:noProof/>
          <w:sz w:val="20"/>
          <w:szCs w:val="20"/>
        </w:rPr>
        <w:t>Western Michigan University</w:t>
      </w:r>
      <w:r w:rsidRPr="00F358FA">
        <w:rPr>
          <w:noProof/>
          <w:sz w:val="20"/>
          <w:szCs w:val="20"/>
        </w:rPr>
        <w:t xml:space="preserve"> 1-38. Accessed December 22, 2020. https://scholarworks.wmich.edu/cgi/viewcontent.cgi?article=3562&amp;context=honors_theses.</w:t>
      </w:r>
    </w:p>
    <w:p w14:paraId="2FDBAD23" w14:textId="04EF4550" w:rsidR="00511365" w:rsidRDefault="00511365">
      <w:pPr>
        <w:pStyle w:val="FootnoteText"/>
      </w:pPr>
    </w:p>
  </w:footnote>
  <w:footnote w:id="9">
    <w:p w14:paraId="6353C874" w14:textId="022E5DAC" w:rsidR="00511365" w:rsidRPr="00F358FA" w:rsidRDefault="00511365" w:rsidP="00511365">
      <w:pPr>
        <w:pStyle w:val="Bibliography"/>
        <w:spacing w:line="240" w:lineRule="auto"/>
        <w:ind w:left="720" w:hanging="720"/>
        <w:rPr>
          <w:noProof/>
          <w:sz w:val="20"/>
          <w:szCs w:val="20"/>
        </w:rPr>
      </w:pPr>
      <w:r>
        <w:rPr>
          <w:rStyle w:val="FootnoteReference"/>
        </w:rPr>
        <w:footnoteRef/>
      </w:r>
      <w:r>
        <w:t xml:space="preserve"> </w:t>
      </w:r>
      <w:r>
        <w:rPr>
          <w:noProof/>
          <w:sz w:val="20"/>
          <w:szCs w:val="20"/>
        </w:rPr>
        <w:t xml:space="preserve">Ibid </w:t>
      </w:r>
    </w:p>
    <w:p w14:paraId="774605E8" w14:textId="203DF584" w:rsidR="00511365" w:rsidRDefault="00511365">
      <w:pPr>
        <w:pStyle w:val="FootnoteText"/>
      </w:pPr>
    </w:p>
  </w:footnote>
  <w:footnote w:id="10">
    <w:p w14:paraId="30DFBF21" w14:textId="59C10E6C" w:rsidR="002337E9" w:rsidRDefault="002337E9">
      <w:pPr>
        <w:pStyle w:val="FootnoteText"/>
      </w:pPr>
      <w:r>
        <w:rPr>
          <w:rStyle w:val="FootnoteReference"/>
        </w:rPr>
        <w:footnoteRef/>
      </w:r>
      <w:r>
        <w:t xml:space="preserve"> </w:t>
      </w:r>
      <w:r w:rsidRPr="00F358FA">
        <w:rPr>
          <w:noProof/>
        </w:rPr>
        <w:t xml:space="preserve">Gordin, J. 2010. "Paradoxes of Federalism: Political Institutions and Fiscal Decentralizations in Argentina and Spain." </w:t>
      </w:r>
      <w:r w:rsidRPr="00F358FA">
        <w:rPr>
          <w:i/>
          <w:iCs/>
          <w:noProof/>
        </w:rPr>
        <w:t>German Institute of Global and Area Studies</w:t>
      </w:r>
      <w:r w:rsidRPr="00F358FA">
        <w:rPr>
          <w:noProof/>
        </w:rPr>
        <w:t xml:space="preserve"> 142-168.</w:t>
      </w:r>
    </w:p>
  </w:footnote>
  <w:footnote w:id="11">
    <w:p w14:paraId="15C65BCF" w14:textId="77777777" w:rsidR="00F358FA" w:rsidRPr="00F358FA" w:rsidRDefault="00F358FA" w:rsidP="00F358FA">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Echeverria, E. 1871. </w:t>
      </w:r>
      <w:r w:rsidRPr="00F358FA">
        <w:rPr>
          <w:i/>
          <w:iCs/>
          <w:noProof/>
          <w:sz w:val="20"/>
          <w:szCs w:val="20"/>
        </w:rPr>
        <w:t>El Matadero.</w:t>
      </w:r>
      <w:r w:rsidRPr="00F358FA">
        <w:rPr>
          <w:noProof/>
          <w:sz w:val="20"/>
          <w:szCs w:val="20"/>
        </w:rPr>
        <w:t xml:space="preserve"> New Mexico: UNM Digital Repository.</w:t>
      </w:r>
    </w:p>
    <w:p w14:paraId="19735F59" w14:textId="75BCC234" w:rsidR="00F358FA" w:rsidRDefault="00F358FA">
      <w:pPr>
        <w:pStyle w:val="FootnoteText"/>
      </w:pPr>
    </w:p>
  </w:footnote>
  <w:footnote w:id="12">
    <w:p w14:paraId="24B2764B" w14:textId="77777777" w:rsidR="00511365" w:rsidRPr="00F358FA" w:rsidRDefault="00511365" w:rsidP="00511365">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Indarte, R. 1843. </w:t>
      </w:r>
      <w:r w:rsidRPr="00F358FA">
        <w:rPr>
          <w:i/>
          <w:iCs/>
          <w:noProof/>
          <w:sz w:val="20"/>
          <w:szCs w:val="20"/>
        </w:rPr>
        <w:t>Blood tables: it is a holy action to kill.</w:t>
      </w:r>
      <w:r w:rsidRPr="00F358FA">
        <w:rPr>
          <w:noProof/>
          <w:sz w:val="20"/>
          <w:szCs w:val="20"/>
        </w:rPr>
        <w:t xml:space="preserve"> </w:t>
      </w:r>
    </w:p>
    <w:p w14:paraId="3487C6CF" w14:textId="6D70D191" w:rsidR="00511365" w:rsidRDefault="00511365">
      <w:pPr>
        <w:pStyle w:val="FootnoteText"/>
      </w:pPr>
    </w:p>
  </w:footnote>
  <w:footnote w:id="13">
    <w:p w14:paraId="2D81B327" w14:textId="77777777" w:rsidR="00511365" w:rsidRPr="00F358FA" w:rsidRDefault="00511365" w:rsidP="00511365">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Gordin, J. 2010. "Paradoxes of Federalism: Political Institutions and Fiscal Decentralizations in Argentina and Spain." </w:t>
      </w:r>
      <w:r w:rsidRPr="00F358FA">
        <w:rPr>
          <w:i/>
          <w:iCs/>
          <w:noProof/>
          <w:sz w:val="20"/>
          <w:szCs w:val="20"/>
        </w:rPr>
        <w:t>German Institute of Global and Area Studies</w:t>
      </w:r>
      <w:r w:rsidRPr="00F358FA">
        <w:rPr>
          <w:noProof/>
          <w:sz w:val="20"/>
          <w:szCs w:val="20"/>
        </w:rPr>
        <w:t xml:space="preserve"> 142-168.</w:t>
      </w:r>
    </w:p>
    <w:p w14:paraId="13E562E2" w14:textId="63C2B4CF" w:rsidR="00511365" w:rsidRDefault="00511365">
      <w:pPr>
        <w:pStyle w:val="FootnoteText"/>
      </w:pPr>
    </w:p>
  </w:footnote>
  <w:footnote w:id="14">
    <w:p w14:paraId="262B4EB2" w14:textId="51B152C3" w:rsidR="00F358FA" w:rsidRPr="00F358FA" w:rsidRDefault="00F358FA" w:rsidP="00F358FA">
      <w:pPr>
        <w:pStyle w:val="Bibliography"/>
        <w:spacing w:line="240" w:lineRule="auto"/>
        <w:ind w:left="720" w:hanging="720"/>
        <w:rPr>
          <w:noProof/>
          <w:sz w:val="20"/>
          <w:szCs w:val="20"/>
        </w:rPr>
      </w:pPr>
      <w:r>
        <w:rPr>
          <w:rStyle w:val="FootnoteReference"/>
        </w:rPr>
        <w:footnoteRef/>
      </w:r>
      <w:r>
        <w:t xml:space="preserve"> </w:t>
      </w:r>
      <w:r w:rsidRPr="00F358FA">
        <w:rPr>
          <w:noProof/>
          <w:sz w:val="20"/>
          <w:szCs w:val="20"/>
        </w:rPr>
        <w:t xml:space="preserve">Quesada, E. 1923. </w:t>
      </w:r>
      <w:r w:rsidRPr="00F358FA">
        <w:rPr>
          <w:i/>
          <w:iCs/>
          <w:noProof/>
          <w:sz w:val="20"/>
          <w:szCs w:val="20"/>
        </w:rPr>
        <w:t>The Epoch of Rosas.</w:t>
      </w:r>
      <w:r w:rsidRPr="00F358FA">
        <w:rPr>
          <w:noProof/>
          <w:sz w:val="20"/>
          <w:szCs w:val="20"/>
        </w:rPr>
        <w:t xml:space="preserve"> </w:t>
      </w:r>
    </w:p>
  </w:footnote>
  <w:footnote w:id="15">
    <w:p w14:paraId="3B9A626A" w14:textId="74051C0B" w:rsidR="00F358FA" w:rsidRPr="00F358FA" w:rsidRDefault="00F358FA" w:rsidP="00F358FA">
      <w:pPr>
        <w:pStyle w:val="Bibliography"/>
        <w:spacing w:line="240" w:lineRule="auto"/>
        <w:ind w:left="720" w:hanging="720"/>
        <w:rPr>
          <w:noProof/>
          <w:sz w:val="20"/>
          <w:szCs w:val="20"/>
        </w:rPr>
      </w:pPr>
      <w:r>
        <w:rPr>
          <w:rStyle w:val="FootnoteReference"/>
        </w:rPr>
        <w:footnoteRef/>
      </w:r>
      <w:r>
        <w:t xml:space="preserve"> </w:t>
      </w:r>
      <w:r>
        <w:rPr>
          <w:noProof/>
          <w:sz w:val="20"/>
          <w:szCs w:val="20"/>
        </w:rPr>
        <w:t xml:space="preserve">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1226525"/>
      <w:docPartObj>
        <w:docPartGallery w:val="Page Numbers (Top of Page)"/>
        <w:docPartUnique/>
      </w:docPartObj>
    </w:sdtPr>
    <w:sdtEndPr>
      <w:rPr>
        <w:noProof/>
      </w:rPr>
    </w:sdtEndPr>
    <w:sdtContent>
      <w:p w14:paraId="1D5634E4" w14:textId="670966BD" w:rsidR="00BF17C1" w:rsidRDefault="00BF17C1">
        <w:pPr>
          <w:pStyle w:val="Header"/>
          <w:jc w:val="right"/>
        </w:pPr>
        <w:r>
          <w:t>Surname</w:t>
        </w:r>
      </w:p>
    </w:sdtContent>
  </w:sdt>
  <w:p w14:paraId="2BFC4B1F" w14:textId="77777777" w:rsidR="00BF17C1" w:rsidRDefault="00BF1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C3BB4"/>
    <w:multiLevelType w:val="hybridMultilevel"/>
    <w:tmpl w:val="698C7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8D8"/>
    <w:rsid w:val="000022EB"/>
    <w:rsid w:val="00044809"/>
    <w:rsid w:val="001018D8"/>
    <w:rsid w:val="0012008D"/>
    <w:rsid w:val="00123BE0"/>
    <w:rsid w:val="00172924"/>
    <w:rsid w:val="001C4761"/>
    <w:rsid w:val="001E22B7"/>
    <w:rsid w:val="00202CBC"/>
    <w:rsid w:val="002337E9"/>
    <w:rsid w:val="00392D49"/>
    <w:rsid w:val="00395457"/>
    <w:rsid w:val="00397D90"/>
    <w:rsid w:val="004C05A7"/>
    <w:rsid w:val="004C599A"/>
    <w:rsid w:val="00511365"/>
    <w:rsid w:val="005350DA"/>
    <w:rsid w:val="005378C5"/>
    <w:rsid w:val="00570D78"/>
    <w:rsid w:val="005D30AB"/>
    <w:rsid w:val="006223F4"/>
    <w:rsid w:val="00632417"/>
    <w:rsid w:val="00632F3B"/>
    <w:rsid w:val="006344B4"/>
    <w:rsid w:val="00655D2A"/>
    <w:rsid w:val="006800DF"/>
    <w:rsid w:val="006D7463"/>
    <w:rsid w:val="00713BE4"/>
    <w:rsid w:val="007350D6"/>
    <w:rsid w:val="007A3D4E"/>
    <w:rsid w:val="008A5684"/>
    <w:rsid w:val="008A681D"/>
    <w:rsid w:val="008E2993"/>
    <w:rsid w:val="00955BD3"/>
    <w:rsid w:val="009717DA"/>
    <w:rsid w:val="009B268A"/>
    <w:rsid w:val="00A0079B"/>
    <w:rsid w:val="00AB26DC"/>
    <w:rsid w:val="00AC17BD"/>
    <w:rsid w:val="00AD4072"/>
    <w:rsid w:val="00B84272"/>
    <w:rsid w:val="00BA5F3A"/>
    <w:rsid w:val="00BF17C1"/>
    <w:rsid w:val="00C540E0"/>
    <w:rsid w:val="00C54E90"/>
    <w:rsid w:val="00CF71B7"/>
    <w:rsid w:val="00D07C17"/>
    <w:rsid w:val="00DE751B"/>
    <w:rsid w:val="00E340C9"/>
    <w:rsid w:val="00F358FA"/>
    <w:rsid w:val="00F718D8"/>
    <w:rsid w:val="00FF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EC5D5"/>
  <w15:chartTrackingRefBased/>
  <w15:docId w15:val="{1D7166B7-2DB3-418D-A785-DD9B08D4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E751B"/>
    <w:rPr>
      <w:i/>
      <w:iCs/>
    </w:rPr>
  </w:style>
  <w:style w:type="paragraph" w:styleId="Bibliography">
    <w:name w:val="Bibliography"/>
    <w:basedOn w:val="Normal"/>
    <w:next w:val="Normal"/>
    <w:uiPriority w:val="37"/>
    <w:unhideWhenUsed/>
    <w:rsid w:val="008A5684"/>
  </w:style>
  <w:style w:type="paragraph" w:styleId="NormalWeb">
    <w:name w:val="Normal (Web)"/>
    <w:basedOn w:val="Normal"/>
    <w:uiPriority w:val="99"/>
    <w:semiHidden/>
    <w:unhideWhenUsed/>
    <w:rsid w:val="008A681D"/>
    <w:pPr>
      <w:spacing w:before="100" w:beforeAutospacing="1" w:after="100" w:afterAutospacing="1" w:line="240" w:lineRule="auto"/>
    </w:pPr>
    <w:rPr>
      <w:rFonts w:eastAsia="Times New Roman" w:cs="Times New Roman"/>
      <w:szCs w:val="24"/>
    </w:rPr>
  </w:style>
  <w:style w:type="paragraph" w:styleId="FootnoteText">
    <w:name w:val="footnote text"/>
    <w:basedOn w:val="Normal"/>
    <w:link w:val="FootnoteTextChar"/>
    <w:uiPriority w:val="99"/>
    <w:semiHidden/>
    <w:unhideWhenUsed/>
    <w:rsid w:val="00F358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58FA"/>
    <w:rPr>
      <w:sz w:val="20"/>
      <w:szCs w:val="20"/>
    </w:rPr>
  </w:style>
  <w:style w:type="character" w:styleId="FootnoteReference">
    <w:name w:val="footnote reference"/>
    <w:basedOn w:val="DefaultParagraphFont"/>
    <w:uiPriority w:val="99"/>
    <w:semiHidden/>
    <w:unhideWhenUsed/>
    <w:rsid w:val="00F358FA"/>
    <w:rPr>
      <w:vertAlign w:val="superscript"/>
    </w:rPr>
  </w:style>
  <w:style w:type="paragraph" w:styleId="Header">
    <w:name w:val="header"/>
    <w:basedOn w:val="Normal"/>
    <w:link w:val="HeaderChar"/>
    <w:uiPriority w:val="99"/>
    <w:unhideWhenUsed/>
    <w:rsid w:val="00BF1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7C1"/>
  </w:style>
  <w:style w:type="paragraph" w:styleId="Footer">
    <w:name w:val="footer"/>
    <w:basedOn w:val="Normal"/>
    <w:link w:val="FooterChar"/>
    <w:uiPriority w:val="99"/>
    <w:unhideWhenUsed/>
    <w:rsid w:val="00BF1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271778">
      <w:bodyDiv w:val="1"/>
      <w:marLeft w:val="0"/>
      <w:marRight w:val="0"/>
      <w:marTop w:val="0"/>
      <w:marBottom w:val="0"/>
      <w:divBdr>
        <w:top w:val="none" w:sz="0" w:space="0" w:color="auto"/>
        <w:left w:val="none" w:sz="0" w:space="0" w:color="auto"/>
        <w:bottom w:val="none" w:sz="0" w:space="0" w:color="auto"/>
        <w:right w:val="none" w:sz="0" w:space="0" w:color="auto"/>
      </w:divBdr>
    </w:div>
    <w:div w:id="864556235">
      <w:bodyDiv w:val="1"/>
      <w:marLeft w:val="0"/>
      <w:marRight w:val="0"/>
      <w:marTop w:val="0"/>
      <w:marBottom w:val="0"/>
      <w:divBdr>
        <w:top w:val="none" w:sz="0" w:space="0" w:color="auto"/>
        <w:left w:val="none" w:sz="0" w:space="0" w:color="auto"/>
        <w:bottom w:val="none" w:sz="0" w:space="0" w:color="auto"/>
        <w:right w:val="none" w:sz="0" w:space="0" w:color="auto"/>
      </w:divBdr>
    </w:div>
    <w:div w:id="1242256269">
      <w:bodyDiv w:val="1"/>
      <w:marLeft w:val="0"/>
      <w:marRight w:val="0"/>
      <w:marTop w:val="0"/>
      <w:marBottom w:val="0"/>
      <w:divBdr>
        <w:top w:val="none" w:sz="0" w:space="0" w:color="auto"/>
        <w:left w:val="none" w:sz="0" w:space="0" w:color="auto"/>
        <w:bottom w:val="none" w:sz="0" w:space="0" w:color="auto"/>
        <w:right w:val="none" w:sz="0" w:space="0" w:color="auto"/>
      </w:divBdr>
    </w:div>
    <w:div w:id="129047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Ebe62</b:Tag>
    <b:SourceType>Book</b:SourceType>
    <b:Guid>{292CF00A-D71C-4696-950B-4CADCAB0B7C2}</b:Guid>
    <b:Author>
      <b:Author>
        <b:NameList>
          <b:Person>
            <b:Last>Ebenstein</b:Last>
            <b:First>W.</b:First>
          </b:Person>
        </b:NameList>
      </b:Author>
    </b:Author>
    <b:Title>Modern Political Thought: The Great Issues</b:Title>
    <b:Year>1962</b:Year>
    <b:City>New York</b:City>
    <b:Publisher>Holt, RinHart, &amp; Winstn, Inc.</b:Publisher>
    <b:RefOrder>1</b:RefOrder>
  </b:Source>
  <b:Source>
    <b:Tag>Ame07</b:Tag>
    <b:SourceType>JournalArticle</b:SourceType>
    <b:Guid>{19E20E13-59CD-4B07-8CE9-7E6BFCF03924}</b:Guid>
    <b:Title>A ‘Necessary’ Dictatorship: The ‘Age of Rosas’ in Argentine History Textbooks published between 1956 and 1983 and the Defence of Authoritarianism</b:Title>
    <b:Year>2007</b:Year>
    <b:Author>
      <b:Author>
        <b:NameList>
          <b:Person>
            <b:Last>Amezola</b:Last>
            <b:First>G.</b:First>
          </b:Person>
        </b:NameList>
      </b:Author>
    </b:Author>
    <b:JournalName>International Journal of the History of Education</b:JournalName>
    <b:Pages>669-684</b:Pages>
    <b:Volume>43</b:Volume>
    <b:Issue>5</b:Issue>
    <b:URL>https://doi.org/10.1080/00309230701587157</b:URL>
    <b:RefOrder>2</b:RefOrder>
  </b:Source>
  <b:Source>
    <b:Tag>Rob30</b:Tag>
    <b:SourceType>JournalArticle</b:SourceType>
    <b:Guid>{CE584DD9-FD94-4B6C-8A16-254FD24CD47A}</b:Guid>
    <b:Author>
      <b:Author>
        <b:NameList>
          <b:Person>
            <b:Last>Robertson</b:Last>
            <b:First>W.</b:First>
          </b:Person>
        </b:NameList>
      </b:Author>
    </b:Author>
    <b:Title>Foreign Estimates of the Argentine Dictator, Juan Manuel de Rosas</b:Title>
    <b:JournalName>The Hispanic American Historical Review</b:JournalName>
    <b:Year>1930</b:Year>
    <b:Pages>125-137</b:Pages>
    <b:Volume>10</b:Volume>
    <b:Issue>2</b:Issue>
    <b:URL>https://doi.org/10.2307/2506521</b:URL>
    <b:RefOrder>3</b:RefOrder>
  </b:Source>
  <b:Source>
    <b:Tag>Bos15</b:Tag>
    <b:SourceType>JournalArticle</b:SourceType>
    <b:Guid>{333DE98D-374D-4472-B38C-E9EAEFD5421C}</b:Guid>
    <b:Author>
      <b:Author>
        <b:NameList>
          <b:Person>
            <b:Last>Bos</b:Last>
            <b:First>T.</b:First>
          </b:Person>
        </b:NameList>
      </b:Author>
    </b:Author>
    <b:Title>The Age of Caudillos: Power Structures, Masculinity, and Neglect in the Argentine National Period</b:Title>
    <b:JournalName>Western Michigan University</b:JournalName>
    <b:Year>2015</b:Year>
    <b:Pages>1-38</b:Pages>
    <b:Medium>Internet</b:Medium>
    <b:YearAccessed>2020</b:YearAccessed>
    <b:MonthAccessed>December</b:MonthAccessed>
    <b:DayAccessed>22</b:DayAccessed>
    <b:URL>https://scholarworks.wmich.edu/cgi/viewcontent.cgi?article=3562&amp;context=honors_theses</b:URL>
    <b:RefOrder>4</b:RefOrder>
  </b:Source>
  <b:Source>
    <b:Tag>Gor10</b:Tag>
    <b:SourceType>JournalArticle</b:SourceType>
    <b:Guid>{D738305D-13B7-49D9-B87C-FC5A8C789AE4}</b:Guid>
    <b:Author>
      <b:Author>
        <b:NameList>
          <b:Person>
            <b:Last>Gordin</b:Last>
            <b:First>J.</b:First>
          </b:Person>
        </b:NameList>
      </b:Author>
    </b:Author>
    <b:Title>Paradoxes of Federalism: Political Institutions and Fiscal Decentralizations in Argentina and Spain</b:Title>
    <b:JournalName>German Institute of Global and Area Studies</b:JournalName>
    <b:Year>2010</b:Year>
    <b:Pages>142-168</b:Pages>
    <b:RefOrder>5</b:RefOrder>
  </b:Source>
  <b:Source>
    <b:Tag>Sar74</b:Tag>
    <b:SourceType>Book</b:SourceType>
    <b:Guid>{5A1544C2-8D9A-4325-AD96-3D5D1608C6D2}</b:Guid>
    <b:Title>Civilizacion y Barbare: Vida de Juan Facundo Quiroga</b:Title>
    <b:Year>1974</b:Year>
    <b:Author>
      <b:Author>
        <b:NameList>
          <b:Person>
            <b:Last>Sarmiento</b:Last>
            <b:First>D.</b:First>
          </b:Person>
        </b:NameList>
      </b:Author>
    </b:Author>
    <b:City>Madrid</b:City>
    <b:Publisher>Editorial Nacional</b:Publisher>
    <b:RefOrder>6</b:RefOrder>
  </b:Source>
  <b:Source>
    <b:Tag>Ech71</b:Tag>
    <b:SourceType>Book</b:SourceType>
    <b:Guid>{329D3E29-424E-4654-985C-5D139FD596CB}</b:Guid>
    <b:Author>
      <b:Author>
        <b:NameList>
          <b:Person>
            <b:Last>Echeverria</b:Last>
            <b:First>E.</b:First>
          </b:Person>
        </b:NameList>
      </b:Author>
    </b:Author>
    <b:Title>El Matadero</b:Title>
    <b:Year>1871</b:Year>
    <b:City>New Mexico</b:City>
    <b:Publisher>UNM Digital Repository</b:Publisher>
    <b:RefOrder>7</b:RefOrder>
  </b:Source>
  <b:Source>
    <b:Tag>Esc88</b:Tag>
    <b:SourceType>JournalArticle</b:SourceType>
    <b:Guid>{CDECB5FB-1918-4643-9D3B-C8B0278E8D0D}</b:Guid>
    <b:Title>Argentine Territorial Nationalism</b:Title>
    <b:Year>1988</b:Year>
    <b:Pages>139-165</b:Pages>
    <b:JournalName>Journal of Latin American Studies</b:JournalName>
    <b:Author>
      <b:Author>
        <b:NameList>
          <b:Person>
            <b:Last>Escude</b:Last>
            <b:First>C.</b:First>
          </b:Person>
        </b:NameList>
      </b:Author>
    </b:Author>
    <b:Volume>20</b:Volume>
    <b:Issue>1</b:Issue>
    <b:RefOrder>8</b:RefOrder>
  </b:Source>
  <b:Source>
    <b:Tag>Ind43</b:Tag>
    <b:SourceType>Book</b:SourceType>
    <b:Guid>{15E8C4EB-1ADD-41E2-A775-79C4AB41D8D3}</b:Guid>
    <b:Title>Blood tables: it is a holy action to kill</b:Title>
    <b:Year>1843</b:Year>
    <b:Author>
      <b:Author>
        <b:NameList>
          <b:Person>
            <b:Last>Indarte</b:Last>
            <b:First>R.</b:First>
          </b:Person>
        </b:NameList>
      </b:Author>
    </b:Author>
    <b:RefOrder>9</b:RefOrder>
  </b:Source>
  <b:Source>
    <b:Tag>Que23</b:Tag>
    <b:SourceType>Book</b:SourceType>
    <b:Guid>{5AA0A306-77EE-4537-AB67-097549427CE2}</b:Guid>
    <b:Author>
      <b:Author>
        <b:NameList>
          <b:Person>
            <b:Last>Quesada</b:Last>
            <b:First>E.</b:First>
          </b:Person>
        </b:NameList>
      </b:Author>
    </b:Author>
    <b:Title>The Epoch of Rosas</b:Title>
    <b:Year>1923</b:Year>
    <b:RefOrder>10</b:RefOrder>
  </b:Source>
</b:Sources>
</file>

<file path=customXml/itemProps1.xml><?xml version="1.0" encoding="utf-8"?>
<ds:datastoreItem xmlns:ds="http://schemas.openxmlformats.org/officeDocument/2006/customXml" ds:itemID="{7F7AC9A1-F409-4D45-9386-418B7A27E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11</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21</cp:revision>
  <dcterms:created xsi:type="dcterms:W3CDTF">2020-12-22T08:42:00Z</dcterms:created>
  <dcterms:modified xsi:type="dcterms:W3CDTF">2020-12-23T19:24:00Z</dcterms:modified>
</cp:coreProperties>
</file>